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A92A416" w:rsidR="00093CA9" w:rsidRDefault="00E44529" w:rsidP="00093CA9">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A74833"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21571678" w:rsidR="00093CA9" w:rsidRPr="007F1008" w:rsidRDefault="003B5157" w:rsidP="00093CA9">
            <w:pPr>
              <w:rPr>
                <w:lang w:val="pt-BR"/>
              </w:rPr>
            </w:pPr>
            <w:r w:rsidRPr="007F1008">
              <w:rPr>
                <w:lang w:val="pt-BR"/>
              </w:rPr>
              <w:t xml:space="preserve">Law No. 15,042/2024 - </w:t>
            </w:r>
            <w:proofErr w:type="spellStart"/>
            <w:r w:rsidRPr="007F1008">
              <w:rPr>
                <w:lang w:val="pt-BR"/>
              </w:rPr>
              <w:t>Establishes</w:t>
            </w:r>
            <w:proofErr w:type="spellEnd"/>
            <w:r w:rsidRPr="007F1008">
              <w:rPr>
                <w:lang w:val="pt-BR"/>
              </w:rPr>
              <w:t xml:space="preserve"> </w:t>
            </w:r>
            <w:proofErr w:type="spellStart"/>
            <w:r w:rsidRPr="007F1008">
              <w:rPr>
                <w:lang w:val="pt-BR"/>
              </w:rPr>
              <w:t>the</w:t>
            </w:r>
            <w:proofErr w:type="spellEnd"/>
            <w:r w:rsidRPr="007F1008">
              <w:rPr>
                <w:lang w:val="pt-BR"/>
              </w:rPr>
              <w:t xml:space="preserve"> </w:t>
            </w:r>
            <w:proofErr w:type="spellStart"/>
            <w:r w:rsidRPr="007F1008">
              <w:rPr>
                <w:lang w:val="pt-BR"/>
              </w:rPr>
              <w:t>Brazilian</w:t>
            </w:r>
            <w:proofErr w:type="spellEnd"/>
            <w:r w:rsidRPr="007F1008">
              <w:rPr>
                <w:lang w:val="pt-BR"/>
              </w:rPr>
              <w:t xml:space="preserve"> </w:t>
            </w:r>
            <w:proofErr w:type="spellStart"/>
            <w:r w:rsidRPr="007F1008">
              <w:rPr>
                <w:lang w:val="pt-BR"/>
              </w:rPr>
              <w:t>Greenhouse</w:t>
            </w:r>
            <w:proofErr w:type="spellEnd"/>
            <w:r w:rsidRPr="007F1008">
              <w:rPr>
                <w:lang w:val="pt-BR"/>
              </w:rPr>
              <w:t xml:space="preserve"> </w:t>
            </w:r>
            <w:proofErr w:type="spellStart"/>
            <w:r w:rsidRPr="007F1008">
              <w:rPr>
                <w:lang w:val="pt-BR"/>
              </w:rPr>
              <w:t>Gas</w:t>
            </w:r>
            <w:proofErr w:type="spellEnd"/>
            <w:r w:rsidRPr="007F1008">
              <w:rPr>
                <w:lang w:val="pt-BR"/>
              </w:rPr>
              <w:t xml:space="preserve"> </w:t>
            </w:r>
            <w:proofErr w:type="spellStart"/>
            <w:r w:rsidRPr="007F1008">
              <w:rPr>
                <w:lang w:val="pt-BR"/>
              </w:rPr>
              <w:t>Emissions</w:t>
            </w:r>
            <w:proofErr w:type="spellEnd"/>
            <w:r w:rsidRPr="007F1008">
              <w:rPr>
                <w:lang w:val="pt-BR"/>
              </w:rPr>
              <w:t xml:space="preserve"> Trading System (Lei nº 15.042, de 11 de dezembro de 2024 - Institui o Sistema Brasileiro de Comércio de Emissões de Gases de Efeito Estufa)</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02F988F7" w:rsidR="00093CA9" w:rsidRDefault="007F1008" w:rsidP="00093CA9">
            <w:hyperlink r:id="rId17" w:history="1">
              <w:r w:rsidRPr="00355060">
                <w:rPr>
                  <w:rStyle w:val="Hyperlink"/>
                </w:rPr>
                <w:t>https://www2.camara.leg.br/legin/fed/lei/2024/lei-15042-11-dezembro-2024-796690-publicacaooriginal-173745-pl.html</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35E65F8" w:rsidR="00093CA9" w:rsidRDefault="00C51D3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665D16BE" w:rsidR="00093CA9" w:rsidRDefault="003B5157"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2505B0D1"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4E972B80" w:rsidR="00093CA9" w:rsidRDefault="00C329A5" w:rsidP="002C578E">
            <w:pPr>
              <w:jc w:val="both"/>
            </w:pPr>
            <w:r w:rsidRPr="00C329A5">
              <w:t>Law No. 15,042/2024 establishes the Brazilian Emissions Trading System (SBCE) to regulate greenhouse gas (GHG) emissions. The system operates under a cap-and-trade regime, limiting GHG emissions while enabling the trading of assets tied to emissions, reductions, or removals nationwide. It imposes binding environmental obligations and creates financial mechanisms for trading emission-related assets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615D3278" w:rsidR="00093CA9" w:rsidRDefault="0027350A" w:rsidP="003F0F21">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B4D9213" w:rsidR="00093CA9" w:rsidRPr="00173D7C" w:rsidRDefault="00C329A5"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E9B6C3E" w:rsidR="00093CA9" w:rsidRPr="00173D7C" w:rsidRDefault="00C329A5"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64421EDF" w:rsidR="00093CA9" w:rsidRDefault="006E3C6E" w:rsidP="00093CA9">
            <w:r w:rsidRPr="006E3C6E">
              <w:rPr>
                <w:color w:val="000000" w:themeColor="text1"/>
              </w:rPr>
              <w:t>Legislature</w:t>
            </w:r>
            <w:r w:rsidR="006F0B64">
              <w:rPr>
                <w:color w:val="000000" w:themeColor="text1"/>
              </w:rPr>
              <w:t xml:space="preserve"> – National Congress of Brazil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93218D0" w:rsidR="00093CA9" w:rsidRPr="006B7B0D" w:rsidRDefault="00473F25" w:rsidP="00093CA9">
            <w:r>
              <w:t xml:space="preserve">Interministerial Committee on Climate Change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1EEA8E0" w:rsidR="00093CA9" w:rsidRPr="006B7B0D" w:rsidRDefault="00473F2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3CF9997" w:rsidR="00093CA9" w:rsidRPr="006B7B0D" w:rsidRDefault="00D36C8D" w:rsidP="00093CA9">
            <w:r>
              <w:t xml:space="preserve">Permanent Technical Advisory Committee </w:t>
            </w:r>
            <w:r w:rsidR="00A74833">
              <w:t>(to be created, thereby the below does not apply yet)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3E43FBB0"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86A4B0D" w:rsidR="00093CA9" w:rsidRPr="006B7B0D" w:rsidRDefault="00152507" w:rsidP="00093CA9">
            <w:r>
              <w:t xml:space="preserve">Managing </w:t>
            </w:r>
            <w:r w:rsidR="00A74833">
              <w:t>Body (to be created, thereby the below does not apply yet)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40CDF1A3"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5EFC205" w14:textId="77777777" w:rsidR="002F7118" w:rsidRPr="00C676D1" w:rsidRDefault="00B34397" w:rsidP="00C676D1">
            <w:pPr>
              <w:jc w:val="both"/>
              <w:rPr>
                <w:lang w:val="en-US"/>
              </w:rPr>
            </w:pPr>
            <w:r w:rsidRPr="00B34397">
              <w:rPr>
                <w:lang w:val="en-US"/>
              </w:rPr>
              <w:t>The Interministerial Committee on Climate Change (CIM) sets the general guidelines of the SBCE.</w:t>
            </w:r>
            <w:r w:rsidRPr="00C676D1">
              <w:rPr>
                <w:lang w:val="en-US"/>
              </w:rPr>
              <w:t xml:space="preserve"> </w:t>
            </w:r>
          </w:p>
          <w:p w14:paraId="66B919EF" w14:textId="57B52463" w:rsidR="00354D67" w:rsidRPr="00C676D1" w:rsidRDefault="00B34397" w:rsidP="00C676D1">
            <w:pPr>
              <w:jc w:val="both"/>
              <w:rPr>
                <w:lang w:val="en-US"/>
              </w:rPr>
            </w:pPr>
            <w:r w:rsidRPr="00B34397">
              <w:rPr>
                <w:lang w:val="en-US"/>
              </w:rPr>
              <w:t xml:space="preserve">The Managing </w:t>
            </w:r>
            <w:r w:rsidR="00A74833">
              <w:rPr>
                <w:lang w:val="en-US"/>
              </w:rPr>
              <w:t xml:space="preserve">Body, when created, will </w:t>
            </w:r>
            <w:r w:rsidR="00185BF8">
              <w:rPr>
                <w:lang w:val="en-US"/>
              </w:rPr>
              <w:t>run</w:t>
            </w:r>
            <w:r w:rsidRPr="00B34397">
              <w:rPr>
                <w:lang w:val="en-US"/>
              </w:rPr>
              <w:t xml:space="preserve"> the system and regulate the market</w:t>
            </w:r>
            <w:r w:rsidR="00185BF8">
              <w:rPr>
                <w:lang w:val="en-US"/>
              </w:rPr>
              <w:t>, with its multitude of attributions set forth in Art. 8 of the Law</w:t>
            </w:r>
            <w:r w:rsidRPr="00B34397">
              <w:rPr>
                <w:lang w:val="en-US"/>
              </w:rPr>
              <w:t>.</w:t>
            </w:r>
          </w:p>
          <w:p w14:paraId="42D06D03" w14:textId="21EF67F4" w:rsidR="00093CA9" w:rsidRPr="00B34397" w:rsidRDefault="00354D67" w:rsidP="00C676D1">
            <w:pPr>
              <w:jc w:val="both"/>
              <w:rPr>
                <w:lang w:val="en-US"/>
              </w:rPr>
            </w:pPr>
            <w:r w:rsidRPr="00C676D1">
              <w:rPr>
                <w:lang w:val="en-US"/>
              </w:rPr>
              <w:t>Th</w:t>
            </w:r>
            <w:r w:rsidR="00B34397" w:rsidRPr="00B34397">
              <w:rPr>
                <w:lang w:val="en-US"/>
              </w:rPr>
              <w:t xml:space="preserve">e Permanent Technical Advisory Committee (CTCP), </w:t>
            </w:r>
            <w:r w:rsidR="00185BF8">
              <w:rPr>
                <w:lang w:val="en-US"/>
              </w:rPr>
              <w:t xml:space="preserve">will be </w:t>
            </w:r>
            <w:r w:rsidR="00B34397" w:rsidRPr="00B34397">
              <w:rPr>
                <w:lang w:val="en-US"/>
              </w:rPr>
              <w:t>made up of representatives from the federal government, states</w:t>
            </w:r>
            <w:r w:rsidR="00C676D1" w:rsidRPr="00C676D1">
              <w:rPr>
                <w:lang w:val="en-US"/>
              </w:rPr>
              <w:t xml:space="preserve"> and representatives from </w:t>
            </w:r>
            <w:r w:rsidR="00B34397" w:rsidRPr="00B34397">
              <w:rPr>
                <w:lang w:val="en-US"/>
              </w:rPr>
              <w:t xml:space="preserve">academia, and civil society, </w:t>
            </w:r>
            <w:r w:rsidR="00185BF8">
              <w:rPr>
                <w:lang w:val="en-US"/>
              </w:rPr>
              <w:t xml:space="preserve">to </w:t>
            </w:r>
            <w:r w:rsidR="00B34397" w:rsidRPr="00B34397">
              <w:rPr>
                <w:lang w:val="en-US"/>
              </w:rPr>
              <w:t>provide technical input and recommendations to improve the system.</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163EF30D" w:rsidR="00093CA9" w:rsidRDefault="002709B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554096A7" w14:textId="1EBA8633" w:rsidR="003B3B08" w:rsidRPr="00FE354D" w:rsidRDefault="00FE354D" w:rsidP="00FE354D">
            <w:pPr>
              <w:keepNext/>
              <w:jc w:val="both"/>
              <w:rPr>
                <w:color w:val="000000" w:themeColor="text1"/>
              </w:rPr>
            </w:pPr>
            <w:r w:rsidRPr="00FE354D">
              <w:rPr>
                <w:color w:val="000000" w:themeColor="text1"/>
              </w:rPr>
              <w:t xml:space="preserve">Articles 29 to 34 of the Law establish that regulated operators must: (i) submit a monitoring plan for each commitment period to the Managing </w:t>
            </w:r>
            <w:r w:rsidR="00185BF8">
              <w:rPr>
                <w:color w:val="000000" w:themeColor="text1"/>
              </w:rPr>
              <w:t>Body</w:t>
            </w:r>
            <w:r w:rsidRPr="00FE354D">
              <w:rPr>
                <w:color w:val="000000" w:themeColor="text1"/>
              </w:rPr>
              <w:t xml:space="preserve"> for prior approval; (ii) submit annual reports of GHG emissions and removals based on the approved monitoring plan; and (iii) submit annual reconciliation reports on their obligations.</w:t>
            </w:r>
          </w:p>
          <w:p w14:paraId="2C2128DB" w14:textId="5727196D" w:rsidR="003B3B08" w:rsidRPr="008017F9" w:rsidRDefault="003B3B08"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A7483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4246986"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53EB5684" w:rsidR="00C4670C" w:rsidRPr="00C37D48" w:rsidRDefault="00392AD1"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5F8FCD1B" w:rsidR="004F276F" w:rsidRPr="002421B8" w:rsidRDefault="00AF5FF4" w:rsidP="002421B8">
            <w:pPr>
              <w:jc w:val="both"/>
              <w:rPr>
                <w:rFonts w:ascii="Calibri" w:hAnsi="Calibri" w:cs="Calibri"/>
              </w:rPr>
            </w:pPr>
            <w:r w:rsidRPr="002421B8">
              <w:rPr>
                <w:rFonts w:ascii="Calibri" w:hAnsi="Calibri" w:cs="Calibri"/>
              </w:rPr>
              <w:t>The Law does not target</w:t>
            </w:r>
            <w:r w:rsidR="003A0463" w:rsidRPr="002421B8">
              <w:rPr>
                <w:rFonts w:ascii="Calibri" w:hAnsi="Calibri" w:cs="Calibri"/>
              </w:rPr>
              <w:t xml:space="preserve"> entities </w:t>
            </w:r>
            <w:r w:rsidR="00826E2B" w:rsidRPr="002421B8">
              <w:rPr>
                <w:rFonts w:ascii="Calibri" w:hAnsi="Calibri" w:cs="Calibri"/>
              </w:rPr>
              <w:t>based on their ownership structure</w:t>
            </w:r>
            <w:r w:rsidR="00553495" w:rsidRPr="002421B8">
              <w:rPr>
                <w:rFonts w:ascii="Calibri" w:hAnsi="Calibri" w:cs="Calibri"/>
              </w:rPr>
              <w:t xml:space="preserve"> (e.g., publicly traded vs. private) or</w:t>
            </w:r>
            <w:r w:rsidR="00826E2B" w:rsidRPr="002421B8">
              <w:rPr>
                <w:rFonts w:ascii="Calibri" w:hAnsi="Calibri" w:cs="Calibri"/>
              </w:rPr>
              <w:t xml:space="preserve"> legal status </w:t>
            </w:r>
            <w:r w:rsidR="00553495" w:rsidRPr="002421B8">
              <w:rPr>
                <w:rFonts w:ascii="Calibri" w:hAnsi="Calibri" w:cs="Calibri"/>
              </w:rPr>
              <w:t>(e.g., for-profit vs. not-for-profit). Instead, it targets any entity</w:t>
            </w:r>
            <w:r w:rsidR="0099382E" w:rsidRPr="002421B8">
              <w:t xml:space="preserve"> </w:t>
            </w:r>
            <w:r w:rsidR="0099382E" w:rsidRPr="002421B8">
              <w:rPr>
                <w:rFonts w:ascii="Calibri" w:hAnsi="Calibri" w:cs="Calibri"/>
              </w:rPr>
              <w:t>that is responsible for a facility or source of emissions exceeding specific greenhouse gas</w:t>
            </w:r>
            <w:r w:rsidR="00EF3150" w:rsidRPr="002421B8">
              <w:rPr>
                <w:rFonts w:ascii="Calibri" w:hAnsi="Calibri" w:cs="Calibri"/>
              </w:rPr>
              <w:t xml:space="preserve"> thresholds. </w:t>
            </w:r>
            <w:r w:rsidR="003B7723" w:rsidRPr="002421B8">
              <w:rPr>
                <w:rFonts w:ascii="Calibri" w:hAnsi="Calibri" w:cs="Calibri"/>
              </w:rPr>
              <w:t xml:space="preserve">Article 30 of the Law establishes that </w:t>
            </w:r>
            <w:r w:rsidR="00DD69BA" w:rsidRPr="002421B8">
              <w:rPr>
                <w:rFonts w:ascii="Calibri" w:hAnsi="Calibri" w:cs="Calibri"/>
              </w:rPr>
              <w:t xml:space="preserve">entities </w:t>
            </w:r>
            <w:r w:rsidR="002421B8" w:rsidRPr="002421B8">
              <w:rPr>
                <w:rFonts w:ascii="Calibri" w:hAnsi="Calibri" w:cs="Calibri"/>
              </w:rPr>
              <w:t>responsible for stationary sources or facilities that emit over 10,000 tonnes of CO2 equivalent per year are mandated to monitor and report their emissions. A stricter obligation to surrender emission allowances to cover their emissions applies to operators of facilities emitting over 25,000 tonnes of CO2 equivalent per year.</w:t>
            </w:r>
            <w:r w:rsidR="00DD69BA" w:rsidRPr="002421B8">
              <w:rPr>
                <w:rFonts w:ascii="Calibri" w:hAnsi="Calibri" w:cs="Calibri"/>
              </w:rPr>
              <w:t xml:space="preserve"> </w:t>
            </w:r>
            <w:r w:rsidR="00B14482">
              <w:rPr>
                <w:rFonts w:ascii="Calibri" w:hAnsi="Calibri" w:cs="Calibri"/>
              </w:rPr>
              <w:t xml:space="preserve">The </w:t>
            </w:r>
            <w:r w:rsidR="00B14482">
              <w:rPr>
                <w:rFonts w:ascii="Calibri" w:hAnsi="Calibri" w:cs="Calibri"/>
              </w:rPr>
              <w:lastRenderedPageBreak/>
              <w:t xml:space="preserve">law is foreseen to set an economy-wide </w:t>
            </w:r>
            <w:r w:rsidR="00361662">
              <w:rPr>
                <w:rFonts w:ascii="Calibri" w:hAnsi="Calibri" w:cs="Calibri"/>
              </w:rPr>
              <w:t>reach of the emissions trading system to be implemented, with only the agricultural sector being expressly excluded by the text of the law to being subject to an emissions cap.</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A7483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0A2719F2" w:rsidR="004F276F" w:rsidRPr="00C37D48" w:rsidRDefault="00504B03" w:rsidP="003D377C">
            <w:pPr>
              <w:jc w:val="both"/>
              <w:rPr>
                <w:rFonts w:ascii="Calibri" w:hAnsi="Calibri" w:cs="Calibri"/>
              </w:rPr>
            </w:pPr>
            <w:r>
              <w:rPr>
                <w:rFonts w:ascii="Calibri" w:hAnsi="Calibri" w:cs="Calibri"/>
              </w:rPr>
              <w:t xml:space="preserve">Entities </w:t>
            </w:r>
            <w:r w:rsidR="00972B4F">
              <w:rPr>
                <w:rFonts w:ascii="Calibri" w:hAnsi="Calibri" w:cs="Calibri"/>
              </w:rPr>
              <w:t xml:space="preserve">emitting 10.000 tons of CO2 equivalent of more per year </w:t>
            </w:r>
            <w:r w:rsidR="00972B4F" w:rsidRPr="00972B4F">
              <w:rPr>
                <w:rFonts w:ascii="Calibri" w:hAnsi="Calibri" w:cs="Calibri"/>
              </w:rPr>
              <w:t>are required to monitor and report their emissions.</w:t>
            </w:r>
            <w:r w:rsidR="00972B4F">
              <w:rPr>
                <w:rFonts w:ascii="Calibri" w:hAnsi="Calibri" w:cs="Calibri"/>
              </w:rPr>
              <w:t xml:space="preserve"> Entities </w:t>
            </w:r>
            <w:r w:rsidR="00C83489">
              <w:rPr>
                <w:rFonts w:ascii="Calibri" w:hAnsi="Calibri" w:cs="Calibri"/>
              </w:rPr>
              <w:t>emit</w:t>
            </w:r>
            <w:r w:rsidR="00F539CA">
              <w:rPr>
                <w:rFonts w:ascii="Calibri" w:hAnsi="Calibri" w:cs="Calibri"/>
              </w:rPr>
              <w:t>t</w:t>
            </w:r>
            <w:r w:rsidR="00C83489">
              <w:rPr>
                <w:rFonts w:ascii="Calibri" w:hAnsi="Calibri" w:cs="Calibri"/>
              </w:rPr>
              <w:t xml:space="preserve">ing </w:t>
            </w:r>
            <w:r w:rsidR="00F539CA">
              <w:rPr>
                <w:rFonts w:ascii="Calibri" w:hAnsi="Calibri" w:cs="Calibri"/>
              </w:rPr>
              <w:t xml:space="preserve">25.000 tons of CO2 or more per year </w:t>
            </w:r>
            <w:r w:rsidR="003D377C" w:rsidRPr="003D377C">
              <w:rPr>
                <w:rFonts w:ascii="Calibri" w:hAnsi="Calibri" w:cs="Calibri"/>
              </w:rPr>
              <w:t>or more annually, the full compliance obligation applies, meaning they must also surrender a corresponding number of emission allowances to cover their total verified emissions.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425E73D0" w:rsidR="004F276F" w:rsidRPr="00C37D48" w:rsidRDefault="00813445"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57E7404E" w:rsidR="004F276F" w:rsidRPr="00C37D48" w:rsidRDefault="0092678C"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23BB95C7" w:rsidR="004F276F" w:rsidRPr="00C37D48" w:rsidRDefault="00254F9E"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1E85C3DB" w:rsidR="004F276F" w:rsidRPr="00C37D48" w:rsidRDefault="007E13AE" w:rsidP="00C37D48">
            <w:pPr>
              <w:rPr>
                <w:rFonts w:ascii="Calibri" w:hAnsi="Calibri" w:cs="Calibri"/>
              </w:rPr>
            </w:pPr>
            <w:r>
              <w:rPr>
                <w:rFonts w:ascii="Calibri" w:hAnsi="Calibri" w:cs="Calibri"/>
              </w:rPr>
              <w:t>X</w:t>
            </w: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lastRenderedPageBreak/>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9E062FB" w:rsidR="004F276F" w:rsidRPr="00C37D48" w:rsidRDefault="00DF7B3C"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1535BA"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67EA526B" w:rsidR="00711F61" w:rsidRPr="001535BA" w:rsidRDefault="001535BA" w:rsidP="00C064D1">
            <w:pPr>
              <w:jc w:val="both"/>
              <w:rPr>
                <w:rFonts w:ascii="Calibri" w:hAnsi="Calibri" w:cs="Calibri"/>
                <w:lang w:val="en-US"/>
              </w:rPr>
            </w:pPr>
            <w:r w:rsidRPr="001535BA">
              <w:rPr>
                <w:rFonts w:ascii="Calibri" w:hAnsi="Calibri" w:cs="Calibri"/>
              </w:rPr>
              <w:t>Section IV of the Law establishes the types of sanctions that can be applied cumulatively or in isolation</w:t>
            </w:r>
            <w:r>
              <w:rPr>
                <w:rFonts w:ascii="Calibri" w:hAnsi="Calibri" w:cs="Calibri"/>
              </w:rPr>
              <w:t xml:space="preserve"> in case of non-compliance: warnings, fines, partial or total suspension of activities, embargoes, suspension or cancellation of licenses, prohibition from contracting with the public administration for 3 years, loss or restriction of tax incentives </w:t>
            </w:r>
            <w:r w:rsidR="00C064D1">
              <w:rPr>
                <w:rFonts w:ascii="Calibri" w:hAnsi="Calibri" w:cs="Calibri"/>
              </w:rPr>
              <w:t xml:space="preserve">and benefits, loss or suspension of participation in financing lines from official credits establishments. </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0A027C64" w:rsidR="001F30DE" w:rsidRPr="00C37D48" w:rsidRDefault="00BD7DCB"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4F5BA62A"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2D0442F6" w:rsidR="001F30DE" w:rsidRPr="00C37D48" w:rsidRDefault="009B2E5C" w:rsidP="009B2E5C">
            <w:pPr>
              <w:jc w:val="both"/>
              <w:rPr>
                <w:rFonts w:ascii="Calibri" w:hAnsi="Calibri" w:cs="Calibri"/>
              </w:rPr>
            </w:pPr>
            <w:r>
              <w:rPr>
                <w:rFonts w:ascii="Calibri" w:hAnsi="Calibri" w:cs="Calibri"/>
              </w:rPr>
              <w:t>T</w:t>
            </w:r>
            <w:r w:rsidRPr="009B2E5C">
              <w:rPr>
                <w:rFonts w:ascii="Calibri" w:hAnsi="Calibri" w:cs="Calibri"/>
              </w:rPr>
              <w:t>he system is in its first phase, which is dedicated to creating the detailed regulations that will govern how the market works.</w:t>
            </w:r>
            <w:r>
              <w:rPr>
                <w:rFonts w:ascii="Calibri" w:hAnsi="Calibri" w:cs="Calibri"/>
              </w:rPr>
              <w:t xml:space="preserve"> </w:t>
            </w:r>
            <w:r w:rsidRPr="009B2E5C">
              <w:rPr>
                <w:rFonts w:ascii="Calibri" w:hAnsi="Calibri" w:cs="Calibri"/>
              </w:rPr>
              <w:t xml:space="preserve">Several preparatory phases must be completed before any enforcement can occur. These include a phase for companies to set up their emissions reporting </w:t>
            </w:r>
            <w:r w:rsidRPr="009B2E5C">
              <w:rPr>
                <w:rFonts w:ascii="Calibri" w:hAnsi="Calibri" w:cs="Calibri"/>
              </w:rPr>
              <w:lastRenderedPageBreak/>
              <w:t>instruments and a two-year period where companies will only be required to monitor and report their emissions without any penalty for the volume emitted</w:t>
            </w:r>
            <w:r>
              <w:rPr>
                <w:rFonts w:ascii="Calibri" w:hAnsi="Calibri" w:cs="Calibri"/>
              </w:rPr>
              <w:t>.</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61CA19FB" w:rsidR="001F30DE" w:rsidRPr="00C37D48" w:rsidRDefault="002A55BD"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29BE3F58" w:rsidR="001F30DE" w:rsidRPr="00153F69" w:rsidRDefault="000122F8" w:rsidP="00153F69">
            <w:pPr>
              <w:jc w:val="both"/>
              <w:rPr>
                <w:rFonts w:ascii="Calibri" w:hAnsi="Calibri" w:cs="Calibri"/>
                <w:lang w:val="pt-BR"/>
              </w:rPr>
            </w:pPr>
            <w:r w:rsidRPr="00153F69">
              <w:rPr>
                <w:rFonts w:ascii="Calibri" w:hAnsi="Calibri" w:cs="Calibri"/>
              </w:rPr>
              <w:t>The law is currently the subject of a direct constitutional challenge in Brazil's highest court.</w:t>
            </w:r>
            <w:r w:rsidR="007B53B3" w:rsidRPr="00153F69">
              <w:rPr>
                <w:rFonts w:ascii="Calibri" w:hAnsi="Calibri" w:cs="Calibri"/>
              </w:rPr>
              <w:t xml:space="preserve"> In March 2025, the National Confederation of General Insurance, Private Pension, and Supplementary Health Companies filed a Direct Action of Unconstitutionality (ADI 7795) with the Federal Supreme Court, specifically challenging Article 56 of the law.</w:t>
            </w:r>
            <w:r w:rsidR="00153F69" w:rsidRPr="00153F69">
              <w:rPr>
                <w:rFonts w:ascii="Calibri" w:hAnsi="Calibri" w:cs="Calibri"/>
              </w:rPr>
              <w:t xml:space="preserve"> </w:t>
            </w:r>
            <w:r w:rsidR="00153F69" w:rsidRPr="00153F69">
              <w:rPr>
                <w:rFonts w:ascii="Calibri" w:hAnsi="Calibri" w:cs="Calibri"/>
                <w:lang w:val="pt-BR"/>
              </w:rPr>
              <w:t xml:space="preserve">The case </w:t>
            </w:r>
            <w:proofErr w:type="spellStart"/>
            <w:r w:rsidR="00153F69" w:rsidRPr="00153F69">
              <w:rPr>
                <w:rFonts w:ascii="Calibri" w:hAnsi="Calibri" w:cs="Calibri"/>
                <w:lang w:val="pt-BR"/>
              </w:rPr>
              <w:t>is</w:t>
            </w:r>
            <w:proofErr w:type="spellEnd"/>
            <w:r w:rsidR="00153F69" w:rsidRPr="00153F69">
              <w:rPr>
                <w:rFonts w:ascii="Calibri" w:hAnsi="Calibri" w:cs="Calibri"/>
                <w:lang w:val="pt-BR"/>
              </w:rPr>
              <w:t xml:space="preserve"> </w:t>
            </w:r>
            <w:proofErr w:type="spellStart"/>
            <w:r w:rsidR="00153F69" w:rsidRPr="00153F69">
              <w:rPr>
                <w:rFonts w:ascii="Calibri" w:hAnsi="Calibri" w:cs="Calibri"/>
                <w:lang w:val="pt-BR"/>
              </w:rPr>
              <w:t>currently</w:t>
            </w:r>
            <w:proofErr w:type="spellEnd"/>
            <w:r w:rsidR="00153F69" w:rsidRPr="00153F69">
              <w:rPr>
                <w:rFonts w:ascii="Calibri" w:hAnsi="Calibri" w:cs="Calibri"/>
                <w:lang w:val="pt-BR"/>
              </w:rPr>
              <w:t xml:space="preserve"> </w:t>
            </w:r>
            <w:proofErr w:type="spellStart"/>
            <w:r w:rsidR="00153F69" w:rsidRPr="00153F69">
              <w:rPr>
                <w:rFonts w:ascii="Calibri" w:hAnsi="Calibri" w:cs="Calibri"/>
                <w:lang w:val="pt-BR"/>
              </w:rPr>
              <w:t>pending</w:t>
            </w:r>
            <w:proofErr w:type="spellEnd"/>
            <w:r w:rsidR="00153F69" w:rsidRPr="00153F69">
              <w:rPr>
                <w:rFonts w:ascii="Calibri" w:hAnsi="Calibri" w:cs="Calibri"/>
                <w:lang w:val="pt-BR"/>
              </w:rPr>
              <w:t xml:space="preserve"> </w:t>
            </w:r>
            <w:proofErr w:type="spellStart"/>
            <w:r w:rsidR="00153F69" w:rsidRPr="00153F69">
              <w:rPr>
                <w:rFonts w:ascii="Calibri" w:hAnsi="Calibri" w:cs="Calibri"/>
                <w:lang w:val="pt-BR"/>
              </w:rPr>
              <w:t>before</w:t>
            </w:r>
            <w:proofErr w:type="spellEnd"/>
            <w:r w:rsidR="00153F69" w:rsidRPr="00153F69">
              <w:rPr>
                <w:rFonts w:ascii="Calibri" w:hAnsi="Calibri" w:cs="Calibri"/>
                <w:lang w:val="pt-BR"/>
              </w:rPr>
              <w:t xml:space="preserve"> </w:t>
            </w:r>
            <w:proofErr w:type="spellStart"/>
            <w:r w:rsidR="00153F69" w:rsidRPr="00153F69">
              <w:rPr>
                <w:rFonts w:ascii="Calibri" w:hAnsi="Calibri" w:cs="Calibri"/>
                <w:lang w:val="pt-BR"/>
              </w:rPr>
              <w:t>the</w:t>
            </w:r>
            <w:proofErr w:type="spellEnd"/>
            <w:r w:rsidR="00153F69" w:rsidRPr="00153F69">
              <w:rPr>
                <w:rFonts w:ascii="Calibri" w:hAnsi="Calibri" w:cs="Calibri"/>
                <w:lang w:val="pt-BR"/>
              </w:rPr>
              <w:t xml:space="preserve"> </w:t>
            </w:r>
            <w:proofErr w:type="spellStart"/>
            <w:r w:rsidR="00153F69" w:rsidRPr="00153F69">
              <w:rPr>
                <w:rFonts w:ascii="Calibri" w:hAnsi="Calibri" w:cs="Calibri"/>
                <w:lang w:val="pt-BR"/>
              </w:rPr>
              <w:t>Supreme</w:t>
            </w:r>
            <w:proofErr w:type="spellEnd"/>
            <w:r w:rsidR="00153F69" w:rsidRPr="00153F69">
              <w:rPr>
                <w:rFonts w:ascii="Calibri" w:hAnsi="Calibri" w:cs="Calibri"/>
                <w:lang w:val="pt-BR"/>
              </w:rPr>
              <w:t xml:space="preserve"> </w:t>
            </w:r>
            <w:proofErr w:type="spellStart"/>
            <w:r w:rsidR="00153F69" w:rsidRPr="00153F69">
              <w:rPr>
                <w:rFonts w:ascii="Calibri" w:hAnsi="Calibri" w:cs="Calibri"/>
                <w:lang w:val="pt-BR"/>
              </w:rPr>
              <w:t>Court</w:t>
            </w:r>
            <w:proofErr w:type="spellEnd"/>
            <w:r w:rsidR="00153F69" w:rsidRPr="00153F69">
              <w:rPr>
                <w:rFonts w:ascii="Calibri" w:hAnsi="Calibri" w:cs="Calibri"/>
                <w:lang w:val="pt-BR"/>
              </w:rPr>
              <w:t>.</w:t>
            </w: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0642A5F3" w:rsidR="004F48E8" w:rsidRPr="00C37D48" w:rsidRDefault="00091FE0"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6B2115FA" w:rsidR="000A1365" w:rsidRPr="00C37D48" w:rsidRDefault="002A7AA5"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w:t>
            </w:r>
            <w:r w:rsidRPr="00C37D48">
              <w:rPr>
                <w:rFonts w:ascii="Calibri" w:hAnsi="Calibri" w:cs="Calibri"/>
              </w:rPr>
              <w:lastRenderedPageBreak/>
              <w:t xml:space="preserve">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C9F6C38" w14:textId="77777777" w:rsidR="007D6261" w:rsidRPr="007D6261" w:rsidRDefault="00AB66C5" w:rsidP="007D6261">
            <w:pPr>
              <w:rPr>
                <w:rFonts w:ascii="Calibri" w:hAnsi="Calibri" w:cs="Calibri"/>
              </w:rPr>
            </w:pPr>
            <w:r w:rsidRPr="00AB66C5">
              <w:rPr>
                <w:rFonts w:ascii="Calibri" w:hAnsi="Calibri" w:cs="Calibri"/>
              </w:rPr>
              <w:t xml:space="preserve">Yes, the law for the Brazilian Emissions Trading System (SBCE) establishes critical requirements for using offsets, </w:t>
            </w:r>
            <w:r w:rsidR="00A92C36">
              <w:rPr>
                <w:rFonts w:ascii="Calibri" w:hAnsi="Calibri" w:cs="Calibri"/>
              </w:rPr>
              <w:t>either in the voluntary carbon market (and therein named “carbon credits”) or to be traded in the future compliance market</w:t>
            </w:r>
            <w:r w:rsidRPr="00AB66C5">
              <w:rPr>
                <w:rFonts w:ascii="Calibri" w:hAnsi="Calibri" w:cs="Calibri"/>
              </w:rPr>
              <w:t xml:space="preserve"> known</w:t>
            </w:r>
            <w:r w:rsidR="00A92C36">
              <w:rPr>
                <w:rFonts w:ascii="Calibri" w:hAnsi="Calibri" w:cs="Calibri"/>
              </w:rPr>
              <w:t xml:space="preserve"> [therein named </w:t>
            </w:r>
            <w:r w:rsidRPr="00AB66C5">
              <w:rPr>
                <w:rFonts w:ascii="Calibri" w:hAnsi="Calibri" w:cs="Calibri"/>
              </w:rPr>
              <w:t>Verified Emission Reduction or Removal Certificates (CRVEs</w:t>
            </w:r>
            <w:r w:rsidR="00827915">
              <w:rPr>
                <w:rFonts w:ascii="Calibri" w:hAnsi="Calibri" w:cs="Calibri"/>
              </w:rPr>
              <w:t>)</w:t>
            </w:r>
            <w:r w:rsidR="00A92C36">
              <w:rPr>
                <w:rFonts w:ascii="Calibri" w:hAnsi="Calibri" w:cs="Calibri"/>
              </w:rPr>
              <w:t>]</w:t>
            </w:r>
            <w:r w:rsidRPr="00AB66C5">
              <w:rPr>
                <w:rFonts w:ascii="Calibri" w:hAnsi="Calibri" w:cs="Calibri"/>
              </w:rPr>
              <w:t xml:space="preserve">. </w:t>
            </w:r>
            <w:r w:rsidR="007D6261" w:rsidRPr="007D6261">
              <w:rPr>
                <w:rFonts w:ascii="Calibri" w:hAnsi="Calibri" w:cs="Calibri"/>
              </w:rPr>
              <w:t>Under Brazil’s Law No. 15.042/2024, carbon credits and Verified Emission Reduction or Removal Certificates (CRVEs) can be generated through projects or programs that effectively reduce, retain, or remove greenhouse gas (GHG) emissions. Carbon credits, which exist outside the SBCE (Brazilian Emissions Trading System), must follow recognized national or international methodologies that ensure robust measurement, reporting, and verification (MRV). The original holder of these credits is typically the project generator—whether an individual, private entity, indigenous group, or traditional community—and project developers may partner with generators through formal agreements. Public projects can only be developed on lands both owned and controlled by the government, without infringing on private or traditional rights.</w:t>
            </w:r>
          </w:p>
          <w:p w14:paraId="03B15135" w14:textId="7B17A22D" w:rsidR="004A4C51" w:rsidRPr="00C37D48" w:rsidRDefault="007D6261" w:rsidP="007D6261">
            <w:pPr>
              <w:rPr>
                <w:rFonts w:ascii="Calibri" w:hAnsi="Calibri" w:cs="Calibri"/>
              </w:rPr>
            </w:pPr>
            <w:r w:rsidRPr="007D6261">
              <w:rPr>
                <w:rFonts w:ascii="Calibri" w:hAnsi="Calibri" w:cs="Calibri"/>
              </w:rPr>
              <w:t xml:space="preserve">For CRVEs to be recognized within the SBCE, they must represent verifiable reductions or removals of one ton of CO₂ equivalent and follow methodologies officially accredited by the SBCE’s governing body. These methodologies must meet criteria for environmental integrity, social safeguards, and avoidance of double counting. Both developers and certifiers of CRVEs must be legally established Brazilian entities and meet minimum capital requirements. CRVEs can be used by regulated entities to meet compliance obligations or, with prior governmental authorization, be transferred internationally under Article 6 of the Paris Agreement. </w:t>
            </w:r>
            <w:r w:rsidRPr="007D6261">
              <w:rPr>
                <w:rFonts w:ascii="Calibri" w:hAnsi="Calibri" w:cs="Calibri"/>
              </w:rPr>
              <w:lastRenderedPageBreak/>
              <w:t>Additional safeguards apply to REDD+ projects, especially regarding land rights and exclusions from jurisdictional programs to prevent double counting.</w:t>
            </w: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56931507" w:rsidR="00890032" w:rsidRPr="00C37D48" w:rsidRDefault="00AB1C8A"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9F2A39B" w:rsidR="00B610C2" w:rsidRPr="00610F28" w:rsidRDefault="004631B9"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C7B4AEB" w:rsidR="00B610C2" w:rsidRPr="00610F28" w:rsidRDefault="004631B9"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0F622DE" w:rsidR="00B610C2" w:rsidRPr="00610F28" w:rsidRDefault="004631B9"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DA45E1D" w:rsidR="00B610C2" w:rsidRPr="00610F28" w:rsidRDefault="004631B9"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5BB529B" w:rsidR="00B610C2" w:rsidRPr="00610F28" w:rsidRDefault="004631B9"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E5CD681" w:rsidR="00B610C2" w:rsidRPr="00610F28" w:rsidRDefault="004631B9"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A9DF6AC" w:rsidR="00B610C2" w:rsidRPr="00610F28" w:rsidRDefault="004631B9"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90CD5DC" w:rsidR="00B610C2" w:rsidRPr="00610F28" w:rsidRDefault="004631B9"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C754DA9" w:rsidR="00B610C2" w:rsidRPr="00610F28" w:rsidRDefault="004631B9"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B312616" w:rsidR="00B610C2" w:rsidRPr="00610F28" w:rsidRDefault="004631B9"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178EDDBB" w:rsidR="00B610C2" w:rsidRPr="00610F28" w:rsidRDefault="004631B9"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A7483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40592CDF" w:rsidR="00D4323A" w:rsidRPr="00CF2E7C" w:rsidRDefault="00C166DC" w:rsidP="00C166DC">
            <w:pPr>
              <w:jc w:val="cente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D213C5" w:rsidRPr="00CF2E7C" w14:paraId="4C54267D" w14:textId="77777777" w:rsidTr="00CF2E7C">
        <w:trPr>
          <w:trHeight w:val="1020"/>
        </w:trPr>
        <w:tc>
          <w:tcPr>
            <w:tcW w:w="1065" w:type="dxa"/>
            <w:vAlign w:val="center"/>
          </w:tcPr>
          <w:p w14:paraId="4C5D07E3" w14:textId="77777777" w:rsidR="00D213C5" w:rsidRPr="00CF2E7C" w:rsidRDefault="00D213C5" w:rsidP="00D213C5">
            <w:pPr>
              <w:rPr>
                <w:rFonts w:ascii="Calibri" w:hAnsi="Calibri" w:cs="Calibri"/>
              </w:rPr>
            </w:pPr>
          </w:p>
        </w:tc>
        <w:tc>
          <w:tcPr>
            <w:tcW w:w="9375" w:type="dxa"/>
            <w:gridSpan w:val="7"/>
            <w:vAlign w:val="center"/>
          </w:tcPr>
          <w:p w14:paraId="2804699B" w14:textId="74BFAB58" w:rsidR="00D213C5" w:rsidRPr="00CF2E7C" w:rsidRDefault="00D213C5" w:rsidP="00D213C5">
            <w:pPr>
              <w:jc w:val="both"/>
              <w:rPr>
                <w:rFonts w:ascii="Calibri" w:hAnsi="Calibri" w:cs="Calibri"/>
              </w:rPr>
            </w:pPr>
            <w:r w:rsidRPr="002421B8">
              <w:rPr>
                <w:rFonts w:ascii="Calibri" w:hAnsi="Calibri" w:cs="Calibri"/>
              </w:rPr>
              <w:t>The Law does not target entities based on their ownership structure (e.g., publicly traded vs. private) or legal status (e.g., for-profit vs. not-for-profit). Instead, it targets any entity</w:t>
            </w:r>
            <w:r w:rsidRPr="002421B8">
              <w:t xml:space="preserve"> </w:t>
            </w:r>
            <w:r w:rsidRPr="002421B8">
              <w:rPr>
                <w:rFonts w:ascii="Calibri" w:hAnsi="Calibri" w:cs="Calibri"/>
              </w:rPr>
              <w:t xml:space="preserve">that is responsible for a facility or source of emissions exceeding specific greenhouse gas thresholds. Article 30 of the Law establishes that entities responsible for stationary sources or facilities that emit over 10,000 tonnes of CO2 equivalent per year are mandated to monitor and report their emissions. A stricter obligation to surrender emission allowances to cover their emissions applies to operators of facilities emitting over 25,000 tonnes of CO2 equivalent per year. </w:t>
            </w:r>
            <w:r w:rsidR="004631B9" w:rsidRPr="004631B9">
              <w:rPr>
                <w:rFonts w:ascii="Calibri" w:hAnsi="Calibri" w:cs="Calibri"/>
              </w:rPr>
              <w:t xml:space="preserve">The </w:t>
            </w:r>
            <w:r w:rsidR="004631B9" w:rsidRPr="004631B9">
              <w:rPr>
                <w:rFonts w:ascii="Calibri" w:hAnsi="Calibri" w:cs="Calibri"/>
              </w:rPr>
              <w:lastRenderedPageBreak/>
              <w:t>law is foreseen to set an economy-wide reach of the emissions trading system to be implemented, with only the agricultural sector being expressly excluded by the text of the law to being subject to an emissions cap</w:t>
            </w:r>
            <w:r w:rsidR="004631B9">
              <w:rPr>
                <w:rFonts w:ascii="Calibri" w:hAnsi="Calibri" w:cs="Calibri"/>
              </w:rPr>
              <w:t>.</w:t>
            </w:r>
          </w:p>
        </w:tc>
      </w:tr>
      <w:tr w:rsidR="00D213C5" w:rsidRPr="00CF2E7C" w14:paraId="4D9006DA" w14:textId="77777777" w:rsidTr="00CF2E7C">
        <w:trPr>
          <w:trHeight w:val="107"/>
        </w:trPr>
        <w:tc>
          <w:tcPr>
            <w:tcW w:w="1065" w:type="dxa"/>
            <w:vAlign w:val="center"/>
          </w:tcPr>
          <w:p w14:paraId="535578AE" w14:textId="42CED9DD" w:rsidR="00D213C5" w:rsidRPr="00CF2E7C" w:rsidRDefault="00D213C5" w:rsidP="00D213C5">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D213C5" w:rsidRPr="00CF2E7C" w:rsidRDefault="00D213C5" w:rsidP="00D213C5">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D213C5" w:rsidRPr="00CF2E7C" w14:paraId="5B84E9DA" w14:textId="77777777" w:rsidTr="00CF2E7C">
        <w:trPr>
          <w:trHeight w:val="39"/>
        </w:trPr>
        <w:tc>
          <w:tcPr>
            <w:tcW w:w="1065" w:type="dxa"/>
            <w:vAlign w:val="center"/>
          </w:tcPr>
          <w:p w14:paraId="2963C5D8" w14:textId="77777777" w:rsidR="00D213C5" w:rsidRPr="00CF2E7C" w:rsidRDefault="00D213C5" w:rsidP="00D213C5">
            <w:pPr>
              <w:rPr>
                <w:rFonts w:ascii="Calibri" w:hAnsi="Calibri" w:cs="Calibri"/>
              </w:rPr>
            </w:pPr>
          </w:p>
        </w:tc>
        <w:tc>
          <w:tcPr>
            <w:tcW w:w="4303" w:type="dxa"/>
            <w:shd w:val="clear" w:color="auto" w:fill="E2EFD9" w:themeFill="accent6" w:themeFillTint="33"/>
            <w:vAlign w:val="center"/>
          </w:tcPr>
          <w:p w14:paraId="73A9B17A" w14:textId="77777777" w:rsidR="00D213C5" w:rsidRPr="00CF2E7C" w:rsidRDefault="00D213C5" w:rsidP="00D213C5">
            <w:pPr>
              <w:rPr>
                <w:rFonts w:ascii="Calibri" w:hAnsi="Calibri" w:cs="Calibri"/>
              </w:rPr>
            </w:pPr>
          </w:p>
        </w:tc>
        <w:tc>
          <w:tcPr>
            <w:tcW w:w="1675" w:type="dxa"/>
            <w:gridSpan w:val="4"/>
            <w:shd w:val="clear" w:color="auto" w:fill="E2EFD9" w:themeFill="accent6" w:themeFillTint="33"/>
            <w:vAlign w:val="center"/>
          </w:tcPr>
          <w:p w14:paraId="500A967F" w14:textId="77777777" w:rsidR="00D213C5" w:rsidRPr="00CF2E7C" w:rsidRDefault="00D213C5" w:rsidP="00D213C5">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D213C5" w:rsidRPr="00CF2E7C" w:rsidRDefault="00D213C5" w:rsidP="00D213C5">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D213C5" w:rsidRPr="00CF2E7C" w:rsidRDefault="00D213C5" w:rsidP="00D213C5">
            <w:pPr>
              <w:jc w:val="center"/>
              <w:rPr>
                <w:rFonts w:ascii="Calibri" w:hAnsi="Calibri" w:cs="Calibri"/>
              </w:rPr>
            </w:pPr>
            <w:r w:rsidRPr="00CF2E7C">
              <w:rPr>
                <w:rFonts w:ascii="Calibri" w:hAnsi="Calibri" w:cs="Calibri"/>
              </w:rPr>
              <w:t>Not targeted</w:t>
            </w:r>
          </w:p>
        </w:tc>
      </w:tr>
      <w:tr w:rsidR="00D213C5" w:rsidRPr="00CF2E7C" w14:paraId="457C4949" w14:textId="77777777" w:rsidTr="00CF2E7C">
        <w:trPr>
          <w:trHeight w:val="35"/>
        </w:trPr>
        <w:tc>
          <w:tcPr>
            <w:tcW w:w="1065" w:type="dxa"/>
            <w:vAlign w:val="center"/>
          </w:tcPr>
          <w:p w14:paraId="150C3AE5" w14:textId="3E912F6C" w:rsidR="00D213C5" w:rsidRPr="00CF2E7C" w:rsidRDefault="00D213C5" w:rsidP="00D213C5">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D213C5" w:rsidRPr="00CF2E7C" w:rsidRDefault="00D213C5" w:rsidP="00D213C5">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D213C5" w:rsidRPr="00CF2E7C" w:rsidRDefault="00D213C5" w:rsidP="00D213C5">
            <w:pPr>
              <w:rPr>
                <w:rFonts w:ascii="Calibri" w:hAnsi="Calibri" w:cs="Calibri"/>
              </w:rPr>
            </w:pPr>
          </w:p>
        </w:tc>
        <w:tc>
          <w:tcPr>
            <w:tcW w:w="1674" w:type="dxa"/>
            <w:vAlign w:val="center"/>
          </w:tcPr>
          <w:p w14:paraId="37BE9366" w14:textId="77777777" w:rsidR="00D213C5" w:rsidRPr="00CF2E7C" w:rsidRDefault="00D213C5" w:rsidP="00D213C5">
            <w:pPr>
              <w:rPr>
                <w:rFonts w:ascii="Calibri" w:hAnsi="Calibri" w:cs="Calibri"/>
              </w:rPr>
            </w:pPr>
          </w:p>
        </w:tc>
        <w:tc>
          <w:tcPr>
            <w:tcW w:w="1723" w:type="dxa"/>
            <w:vAlign w:val="center"/>
          </w:tcPr>
          <w:p w14:paraId="25298912" w14:textId="77777777" w:rsidR="00D213C5" w:rsidRPr="00CF2E7C" w:rsidRDefault="00D213C5" w:rsidP="00D213C5">
            <w:pPr>
              <w:rPr>
                <w:rFonts w:ascii="Calibri" w:hAnsi="Calibri" w:cs="Calibri"/>
              </w:rPr>
            </w:pPr>
          </w:p>
        </w:tc>
      </w:tr>
      <w:tr w:rsidR="00D213C5" w:rsidRPr="00CF2E7C" w14:paraId="1DB9BA0A" w14:textId="77777777" w:rsidTr="00CF2E7C">
        <w:trPr>
          <w:trHeight w:val="35"/>
        </w:trPr>
        <w:tc>
          <w:tcPr>
            <w:tcW w:w="1065" w:type="dxa"/>
            <w:vAlign w:val="center"/>
          </w:tcPr>
          <w:p w14:paraId="4C1455E0" w14:textId="574B1972" w:rsidR="00D213C5" w:rsidRPr="00CF2E7C" w:rsidRDefault="00D213C5" w:rsidP="00D213C5">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D213C5" w:rsidRPr="00CF2E7C" w:rsidRDefault="00D213C5" w:rsidP="00D213C5">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D213C5" w:rsidRPr="00CF2E7C" w:rsidRDefault="00D213C5" w:rsidP="00D213C5">
            <w:pPr>
              <w:rPr>
                <w:rFonts w:ascii="Calibri" w:hAnsi="Calibri" w:cs="Calibri"/>
              </w:rPr>
            </w:pPr>
          </w:p>
        </w:tc>
        <w:tc>
          <w:tcPr>
            <w:tcW w:w="1674" w:type="dxa"/>
            <w:vAlign w:val="center"/>
          </w:tcPr>
          <w:p w14:paraId="0855EA0B" w14:textId="77777777" w:rsidR="00D213C5" w:rsidRPr="00CF2E7C" w:rsidRDefault="00D213C5" w:rsidP="00D213C5">
            <w:pPr>
              <w:rPr>
                <w:rFonts w:ascii="Calibri" w:hAnsi="Calibri" w:cs="Calibri"/>
              </w:rPr>
            </w:pPr>
          </w:p>
        </w:tc>
        <w:tc>
          <w:tcPr>
            <w:tcW w:w="1723" w:type="dxa"/>
            <w:vAlign w:val="center"/>
          </w:tcPr>
          <w:p w14:paraId="63004DE8" w14:textId="77777777" w:rsidR="00D213C5" w:rsidRPr="00CF2E7C" w:rsidRDefault="00D213C5" w:rsidP="00D213C5">
            <w:pPr>
              <w:rPr>
                <w:rFonts w:ascii="Calibri" w:hAnsi="Calibri" w:cs="Calibri"/>
              </w:rPr>
            </w:pPr>
          </w:p>
        </w:tc>
      </w:tr>
      <w:tr w:rsidR="00D213C5" w:rsidRPr="00CF2E7C" w14:paraId="23EED245" w14:textId="77777777" w:rsidTr="00CF2E7C">
        <w:trPr>
          <w:trHeight w:val="35"/>
        </w:trPr>
        <w:tc>
          <w:tcPr>
            <w:tcW w:w="1065" w:type="dxa"/>
            <w:vAlign w:val="center"/>
          </w:tcPr>
          <w:p w14:paraId="7922D5AA" w14:textId="59EA98C1" w:rsidR="00D213C5" w:rsidRPr="00CF2E7C" w:rsidRDefault="00D213C5" w:rsidP="00D213C5">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D213C5" w:rsidRPr="00CF2E7C" w:rsidRDefault="00D213C5" w:rsidP="00D213C5">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D213C5" w:rsidRPr="00CF2E7C" w:rsidRDefault="00D213C5" w:rsidP="00D213C5">
            <w:pPr>
              <w:rPr>
                <w:rFonts w:ascii="Calibri" w:hAnsi="Calibri" w:cs="Calibri"/>
              </w:rPr>
            </w:pPr>
          </w:p>
        </w:tc>
        <w:tc>
          <w:tcPr>
            <w:tcW w:w="1674" w:type="dxa"/>
            <w:vAlign w:val="center"/>
          </w:tcPr>
          <w:p w14:paraId="7CD111D3" w14:textId="77777777" w:rsidR="00D213C5" w:rsidRPr="00CF2E7C" w:rsidRDefault="00D213C5" w:rsidP="00D213C5">
            <w:pPr>
              <w:rPr>
                <w:rFonts w:ascii="Calibri" w:hAnsi="Calibri" w:cs="Calibri"/>
              </w:rPr>
            </w:pPr>
          </w:p>
        </w:tc>
        <w:tc>
          <w:tcPr>
            <w:tcW w:w="1723" w:type="dxa"/>
            <w:vAlign w:val="center"/>
          </w:tcPr>
          <w:p w14:paraId="7BA5D524" w14:textId="77777777" w:rsidR="00D213C5" w:rsidRPr="00CF2E7C" w:rsidRDefault="00D213C5" w:rsidP="00D213C5">
            <w:pPr>
              <w:rPr>
                <w:rFonts w:ascii="Calibri" w:hAnsi="Calibri" w:cs="Calibri"/>
              </w:rPr>
            </w:pPr>
          </w:p>
        </w:tc>
      </w:tr>
      <w:tr w:rsidR="00D213C5" w:rsidRPr="00CF2E7C" w14:paraId="480540E5" w14:textId="77777777" w:rsidTr="00CF2E7C">
        <w:trPr>
          <w:trHeight w:val="35"/>
        </w:trPr>
        <w:tc>
          <w:tcPr>
            <w:tcW w:w="1065" w:type="dxa"/>
            <w:vAlign w:val="center"/>
          </w:tcPr>
          <w:p w14:paraId="1C057537" w14:textId="59C78FA0" w:rsidR="00D213C5" w:rsidRPr="00CF2E7C" w:rsidRDefault="00D213C5" w:rsidP="00D213C5">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D213C5" w:rsidRPr="00CF2E7C" w:rsidRDefault="00D213C5" w:rsidP="00D213C5">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D213C5" w:rsidRPr="00CF2E7C" w:rsidRDefault="00D213C5" w:rsidP="00D213C5">
            <w:pPr>
              <w:rPr>
                <w:rFonts w:ascii="Calibri" w:hAnsi="Calibri" w:cs="Calibri"/>
              </w:rPr>
            </w:pPr>
          </w:p>
        </w:tc>
        <w:tc>
          <w:tcPr>
            <w:tcW w:w="1674" w:type="dxa"/>
            <w:vAlign w:val="center"/>
          </w:tcPr>
          <w:p w14:paraId="5CDE12B8" w14:textId="77777777" w:rsidR="00D213C5" w:rsidRPr="00CF2E7C" w:rsidRDefault="00D213C5" w:rsidP="00D213C5">
            <w:pPr>
              <w:rPr>
                <w:rFonts w:ascii="Calibri" w:hAnsi="Calibri" w:cs="Calibri"/>
              </w:rPr>
            </w:pPr>
          </w:p>
        </w:tc>
        <w:tc>
          <w:tcPr>
            <w:tcW w:w="1723" w:type="dxa"/>
            <w:vAlign w:val="center"/>
          </w:tcPr>
          <w:p w14:paraId="4E810E0F" w14:textId="77777777" w:rsidR="00D213C5" w:rsidRPr="00CF2E7C" w:rsidRDefault="00D213C5" w:rsidP="00D213C5">
            <w:pPr>
              <w:rPr>
                <w:rFonts w:ascii="Calibri" w:hAnsi="Calibri" w:cs="Calibri"/>
              </w:rPr>
            </w:pPr>
          </w:p>
        </w:tc>
      </w:tr>
      <w:tr w:rsidR="00D213C5" w:rsidRPr="00CF2E7C" w14:paraId="703F2AC4" w14:textId="77777777" w:rsidTr="00CF2E7C">
        <w:trPr>
          <w:trHeight w:val="35"/>
        </w:trPr>
        <w:tc>
          <w:tcPr>
            <w:tcW w:w="1065" w:type="dxa"/>
            <w:vAlign w:val="center"/>
          </w:tcPr>
          <w:p w14:paraId="0C977D2B" w14:textId="71A3659E" w:rsidR="00D213C5" w:rsidRPr="00CF2E7C" w:rsidRDefault="00D213C5" w:rsidP="00D213C5">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D213C5" w:rsidRPr="00CF2E7C" w:rsidRDefault="00D213C5" w:rsidP="00D213C5">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D213C5" w:rsidRPr="00CF2E7C" w:rsidRDefault="00D213C5" w:rsidP="00D213C5">
            <w:pPr>
              <w:rPr>
                <w:rFonts w:ascii="Calibri" w:hAnsi="Calibri" w:cs="Calibri"/>
              </w:rPr>
            </w:pPr>
          </w:p>
        </w:tc>
        <w:tc>
          <w:tcPr>
            <w:tcW w:w="1674" w:type="dxa"/>
            <w:vAlign w:val="center"/>
          </w:tcPr>
          <w:p w14:paraId="167C63D4" w14:textId="77777777" w:rsidR="00D213C5" w:rsidRPr="00CF2E7C" w:rsidRDefault="00D213C5" w:rsidP="00D213C5">
            <w:pPr>
              <w:rPr>
                <w:rFonts w:ascii="Calibri" w:hAnsi="Calibri" w:cs="Calibri"/>
              </w:rPr>
            </w:pPr>
          </w:p>
        </w:tc>
        <w:tc>
          <w:tcPr>
            <w:tcW w:w="1723" w:type="dxa"/>
            <w:vAlign w:val="center"/>
          </w:tcPr>
          <w:p w14:paraId="3D0E7F87" w14:textId="77777777" w:rsidR="00D213C5" w:rsidRPr="00CF2E7C" w:rsidRDefault="00D213C5" w:rsidP="00D213C5">
            <w:pPr>
              <w:rPr>
                <w:rFonts w:ascii="Calibri" w:hAnsi="Calibri" w:cs="Calibri"/>
              </w:rPr>
            </w:pPr>
          </w:p>
        </w:tc>
      </w:tr>
      <w:tr w:rsidR="00D213C5" w:rsidRPr="00CF2E7C" w14:paraId="034299A9" w14:textId="77777777" w:rsidTr="00CF2E7C">
        <w:trPr>
          <w:trHeight w:val="35"/>
        </w:trPr>
        <w:tc>
          <w:tcPr>
            <w:tcW w:w="1065" w:type="dxa"/>
            <w:vAlign w:val="center"/>
          </w:tcPr>
          <w:p w14:paraId="4258A168" w14:textId="1CF30F91" w:rsidR="00D213C5" w:rsidRPr="00CF2E7C" w:rsidRDefault="00D213C5" w:rsidP="00D213C5">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D213C5" w:rsidRPr="00CF2E7C" w:rsidRDefault="00D213C5" w:rsidP="00D213C5">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D213C5" w:rsidRPr="00CF2E7C" w:rsidRDefault="00D213C5" w:rsidP="00D213C5">
            <w:pPr>
              <w:rPr>
                <w:rFonts w:ascii="Calibri" w:hAnsi="Calibri" w:cs="Calibri"/>
              </w:rPr>
            </w:pPr>
          </w:p>
        </w:tc>
        <w:tc>
          <w:tcPr>
            <w:tcW w:w="1674" w:type="dxa"/>
            <w:vAlign w:val="center"/>
          </w:tcPr>
          <w:p w14:paraId="37000C86" w14:textId="77777777" w:rsidR="00D213C5" w:rsidRPr="00CF2E7C" w:rsidRDefault="00D213C5" w:rsidP="00D213C5">
            <w:pPr>
              <w:rPr>
                <w:rFonts w:ascii="Calibri" w:hAnsi="Calibri" w:cs="Calibri"/>
              </w:rPr>
            </w:pPr>
          </w:p>
        </w:tc>
        <w:tc>
          <w:tcPr>
            <w:tcW w:w="1723" w:type="dxa"/>
            <w:vAlign w:val="center"/>
          </w:tcPr>
          <w:p w14:paraId="17ED3CCF" w14:textId="77777777" w:rsidR="00D213C5" w:rsidRPr="00CF2E7C" w:rsidRDefault="00D213C5" w:rsidP="00D213C5">
            <w:pPr>
              <w:rPr>
                <w:rFonts w:ascii="Calibri" w:hAnsi="Calibri" w:cs="Calibri"/>
              </w:rPr>
            </w:pPr>
          </w:p>
        </w:tc>
      </w:tr>
      <w:tr w:rsidR="00D213C5" w:rsidRPr="00CF2E7C" w14:paraId="702FCAC1" w14:textId="77777777" w:rsidTr="00CF2E7C">
        <w:trPr>
          <w:trHeight w:val="35"/>
        </w:trPr>
        <w:tc>
          <w:tcPr>
            <w:tcW w:w="1065" w:type="dxa"/>
            <w:vAlign w:val="center"/>
          </w:tcPr>
          <w:p w14:paraId="2D0D8E4F" w14:textId="6F5F0362" w:rsidR="00D213C5" w:rsidRPr="00CF2E7C" w:rsidRDefault="00D213C5" w:rsidP="00D213C5">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D213C5" w:rsidRPr="00CF2E7C" w:rsidRDefault="00D213C5" w:rsidP="00D213C5">
            <w:pPr>
              <w:rPr>
                <w:rFonts w:ascii="Calibri" w:hAnsi="Calibri" w:cs="Calibri"/>
              </w:rPr>
            </w:pPr>
            <w:r w:rsidRPr="00CF2E7C">
              <w:rPr>
                <w:rFonts w:ascii="Calibri" w:hAnsi="Calibri" w:cs="Calibri"/>
              </w:rPr>
              <w:t>If “Other” please clarify.</w:t>
            </w:r>
          </w:p>
        </w:tc>
      </w:tr>
      <w:tr w:rsidR="00D213C5" w:rsidRPr="00CF2E7C" w14:paraId="547F3079" w14:textId="77777777" w:rsidTr="00CF2E7C">
        <w:trPr>
          <w:trHeight w:val="1020"/>
        </w:trPr>
        <w:tc>
          <w:tcPr>
            <w:tcW w:w="1065" w:type="dxa"/>
            <w:vAlign w:val="center"/>
          </w:tcPr>
          <w:p w14:paraId="748242A0" w14:textId="77777777" w:rsidR="00D213C5" w:rsidRPr="00CF2E7C" w:rsidRDefault="00D213C5" w:rsidP="00D213C5">
            <w:pPr>
              <w:rPr>
                <w:rFonts w:ascii="Calibri" w:hAnsi="Calibri" w:cs="Calibri"/>
              </w:rPr>
            </w:pPr>
          </w:p>
        </w:tc>
        <w:tc>
          <w:tcPr>
            <w:tcW w:w="9375" w:type="dxa"/>
            <w:gridSpan w:val="7"/>
            <w:vAlign w:val="center"/>
          </w:tcPr>
          <w:p w14:paraId="4442DF59" w14:textId="77777777" w:rsidR="00D213C5" w:rsidRPr="00CF2E7C" w:rsidRDefault="00D213C5" w:rsidP="00D213C5">
            <w:pPr>
              <w:rPr>
                <w:rFonts w:ascii="Calibri" w:hAnsi="Calibri" w:cs="Calibri"/>
              </w:rPr>
            </w:pPr>
          </w:p>
        </w:tc>
      </w:tr>
      <w:tr w:rsidR="00D213C5" w:rsidRPr="00CF2E7C" w14:paraId="232C5429" w14:textId="77777777" w:rsidTr="00CF2E7C">
        <w:trPr>
          <w:trHeight w:val="647"/>
        </w:trPr>
        <w:tc>
          <w:tcPr>
            <w:tcW w:w="1065" w:type="dxa"/>
            <w:vAlign w:val="center"/>
          </w:tcPr>
          <w:p w14:paraId="2E737550" w14:textId="54DB3B1F" w:rsidR="00D213C5" w:rsidRPr="00CF2E7C" w:rsidRDefault="00D213C5" w:rsidP="00D213C5">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D213C5" w:rsidRPr="00CF2E7C" w:rsidRDefault="00D213C5" w:rsidP="00D213C5">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D213C5" w:rsidRPr="00CF2E7C" w:rsidRDefault="00D213C5" w:rsidP="00D213C5">
            <w:pPr>
              <w:rPr>
                <w:rFonts w:ascii="Calibri" w:hAnsi="Calibri" w:cs="Calibri"/>
              </w:rPr>
            </w:pPr>
          </w:p>
          <w:p w14:paraId="1E68525C" w14:textId="3BC50AA6" w:rsidR="00D213C5" w:rsidRPr="00CF2E7C" w:rsidRDefault="00D213C5" w:rsidP="00D213C5">
            <w:pPr>
              <w:rPr>
                <w:rFonts w:ascii="Calibri" w:hAnsi="Calibri" w:cs="Calibri"/>
              </w:rPr>
            </w:pPr>
            <w:r w:rsidRPr="00CF2E7C">
              <w:rPr>
                <w:rFonts w:ascii="Calibri" w:hAnsi="Calibri" w:cs="Calibri"/>
                <w:color w:val="000000"/>
              </w:rPr>
              <w:t>If entities are not targeted by sector, please leave this question blank.</w:t>
            </w:r>
          </w:p>
        </w:tc>
      </w:tr>
      <w:tr w:rsidR="00D213C5" w:rsidRPr="00CF2E7C" w14:paraId="52305073" w14:textId="77777777" w:rsidTr="00CF2E7C">
        <w:trPr>
          <w:trHeight w:val="25"/>
        </w:trPr>
        <w:tc>
          <w:tcPr>
            <w:tcW w:w="1065" w:type="dxa"/>
            <w:vAlign w:val="center"/>
          </w:tcPr>
          <w:p w14:paraId="76A58055" w14:textId="77777777" w:rsidR="00D213C5" w:rsidRPr="00CF2E7C" w:rsidRDefault="00D213C5" w:rsidP="00D213C5">
            <w:pPr>
              <w:rPr>
                <w:rFonts w:ascii="Calibri" w:hAnsi="Calibri" w:cs="Calibri"/>
              </w:rPr>
            </w:pPr>
          </w:p>
        </w:tc>
        <w:tc>
          <w:tcPr>
            <w:tcW w:w="4303" w:type="dxa"/>
            <w:shd w:val="clear" w:color="auto" w:fill="E2EFD9" w:themeFill="accent6" w:themeFillTint="33"/>
            <w:vAlign w:val="center"/>
          </w:tcPr>
          <w:p w14:paraId="46393C1B" w14:textId="77777777" w:rsidR="00D213C5" w:rsidRPr="00CF2E7C" w:rsidRDefault="00D213C5" w:rsidP="00D213C5">
            <w:pPr>
              <w:rPr>
                <w:rFonts w:ascii="Calibri" w:hAnsi="Calibri" w:cs="Calibri"/>
              </w:rPr>
            </w:pPr>
          </w:p>
        </w:tc>
        <w:tc>
          <w:tcPr>
            <w:tcW w:w="1675" w:type="dxa"/>
            <w:gridSpan w:val="4"/>
            <w:shd w:val="clear" w:color="auto" w:fill="E2EFD9" w:themeFill="accent6" w:themeFillTint="33"/>
            <w:vAlign w:val="center"/>
          </w:tcPr>
          <w:p w14:paraId="1CC3C222" w14:textId="77777777" w:rsidR="00D213C5" w:rsidRPr="00CF2E7C" w:rsidRDefault="00D213C5" w:rsidP="00D213C5">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D213C5" w:rsidRPr="00CF2E7C" w:rsidRDefault="00D213C5" w:rsidP="00D213C5">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D213C5" w:rsidRPr="00CF2E7C" w:rsidRDefault="00D213C5" w:rsidP="00D213C5">
            <w:pPr>
              <w:jc w:val="center"/>
              <w:rPr>
                <w:rFonts w:ascii="Calibri" w:hAnsi="Calibri" w:cs="Calibri"/>
              </w:rPr>
            </w:pPr>
            <w:r w:rsidRPr="00CF2E7C">
              <w:rPr>
                <w:rFonts w:ascii="Calibri" w:hAnsi="Calibri" w:cs="Calibri"/>
              </w:rPr>
              <w:t>Not applicable</w:t>
            </w:r>
          </w:p>
        </w:tc>
      </w:tr>
      <w:tr w:rsidR="00D213C5" w:rsidRPr="00CF2E7C" w14:paraId="10AC5B53" w14:textId="77777777" w:rsidTr="00CF2E7C">
        <w:trPr>
          <w:trHeight w:val="22"/>
        </w:trPr>
        <w:tc>
          <w:tcPr>
            <w:tcW w:w="1065" w:type="dxa"/>
            <w:vAlign w:val="center"/>
          </w:tcPr>
          <w:p w14:paraId="228B3667" w14:textId="171EF74E" w:rsidR="00D213C5" w:rsidRPr="00CF2E7C" w:rsidRDefault="00D213C5" w:rsidP="00D213C5">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D213C5" w:rsidRPr="00CF2E7C" w:rsidRDefault="00D213C5" w:rsidP="00D213C5">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D213C5" w:rsidRPr="00CF2E7C" w:rsidRDefault="00D213C5" w:rsidP="00D213C5">
            <w:pPr>
              <w:rPr>
                <w:rFonts w:ascii="Calibri" w:hAnsi="Calibri" w:cs="Calibri"/>
              </w:rPr>
            </w:pPr>
          </w:p>
        </w:tc>
        <w:tc>
          <w:tcPr>
            <w:tcW w:w="1674" w:type="dxa"/>
            <w:vAlign w:val="center"/>
          </w:tcPr>
          <w:p w14:paraId="0448951C" w14:textId="77777777" w:rsidR="00D213C5" w:rsidRPr="00CF2E7C" w:rsidRDefault="00D213C5" w:rsidP="00D213C5">
            <w:pPr>
              <w:rPr>
                <w:rFonts w:ascii="Calibri" w:hAnsi="Calibri" w:cs="Calibri"/>
              </w:rPr>
            </w:pPr>
          </w:p>
        </w:tc>
        <w:tc>
          <w:tcPr>
            <w:tcW w:w="1723" w:type="dxa"/>
            <w:vAlign w:val="center"/>
          </w:tcPr>
          <w:p w14:paraId="6F8D0958" w14:textId="77777777" w:rsidR="00D213C5" w:rsidRPr="00CF2E7C" w:rsidRDefault="00D213C5" w:rsidP="00D213C5">
            <w:pPr>
              <w:rPr>
                <w:rFonts w:ascii="Calibri" w:hAnsi="Calibri" w:cs="Calibri"/>
              </w:rPr>
            </w:pPr>
          </w:p>
        </w:tc>
      </w:tr>
      <w:tr w:rsidR="00D213C5" w:rsidRPr="00CF2E7C" w14:paraId="0D8FCA12" w14:textId="77777777" w:rsidTr="00CF2E7C">
        <w:trPr>
          <w:trHeight w:val="22"/>
        </w:trPr>
        <w:tc>
          <w:tcPr>
            <w:tcW w:w="1065" w:type="dxa"/>
            <w:vAlign w:val="center"/>
          </w:tcPr>
          <w:p w14:paraId="3F38376D" w14:textId="7909E701" w:rsidR="00D213C5" w:rsidRPr="00CF2E7C" w:rsidRDefault="00D213C5" w:rsidP="00D213C5">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D213C5" w:rsidRPr="00CF2E7C" w:rsidRDefault="00D213C5" w:rsidP="00D213C5">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D213C5" w:rsidRPr="00CF2E7C" w:rsidRDefault="00D213C5" w:rsidP="00D213C5">
            <w:pPr>
              <w:rPr>
                <w:rFonts w:ascii="Calibri" w:hAnsi="Calibri" w:cs="Calibri"/>
              </w:rPr>
            </w:pPr>
          </w:p>
        </w:tc>
        <w:tc>
          <w:tcPr>
            <w:tcW w:w="1674" w:type="dxa"/>
            <w:vAlign w:val="center"/>
          </w:tcPr>
          <w:p w14:paraId="139B0DBA" w14:textId="77777777" w:rsidR="00D213C5" w:rsidRPr="00CF2E7C" w:rsidRDefault="00D213C5" w:rsidP="00D213C5">
            <w:pPr>
              <w:rPr>
                <w:rFonts w:ascii="Calibri" w:hAnsi="Calibri" w:cs="Calibri"/>
              </w:rPr>
            </w:pPr>
          </w:p>
        </w:tc>
        <w:tc>
          <w:tcPr>
            <w:tcW w:w="1723" w:type="dxa"/>
            <w:vAlign w:val="center"/>
          </w:tcPr>
          <w:p w14:paraId="3E6A42C1" w14:textId="77777777" w:rsidR="00D213C5" w:rsidRPr="00CF2E7C" w:rsidRDefault="00D213C5" w:rsidP="00D213C5">
            <w:pPr>
              <w:rPr>
                <w:rFonts w:ascii="Calibri" w:hAnsi="Calibri" w:cs="Calibri"/>
              </w:rPr>
            </w:pPr>
          </w:p>
        </w:tc>
      </w:tr>
      <w:tr w:rsidR="00D213C5" w:rsidRPr="00CF2E7C" w14:paraId="5C885BED" w14:textId="77777777" w:rsidTr="00CF2E7C">
        <w:trPr>
          <w:trHeight w:val="22"/>
        </w:trPr>
        <w:tc>
          <w:tcPr>
            <w:tcW w:w="1065" w:type="dxa"/>
            <w:vAlign w:val="center"/>
          </w:tcPr>
          <w:p w14:paraId="6047D3DA" w14:textId="7A69DB30" w:rsidR="00D213C5" w:rsidRPr="00CF2E7C" w:rsidRDefault="00D213C5" w:rsidP="00D213C5">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D213C5" w:rsidRPr="00CF2E7C" w:rsidRDefault="00D213C5" w:rsidP="00D213C5">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D213C5" w:rsidRPr="00CF2E7C" w:rsidRDefault="00D213C5" w:rsidP="00D213C5">
            <w:pPr>
              <w:rPr>
                <w:rFonts w:ascii="Calibri" w:hAnsi="Calibri" w:cs="Calibri"/>
              </w:rPr>
            </w:pPr>
          </w:p>
        </w:tc>
        <w:tc>
          <w:tcPr>
            <w:tcW w:w="1674" w:type="dxa"/>
            <w:vAlign w:val="center"/>
          </w:tcPr>
          <w:p w14:paraId="603CC3B7" w14:textId="77777777" w:rsidR="00D213C5" w:rsidRPr="00CF2E7C" w:rsidRDefault="00D213C5" w:rsidP="00D213C5">
            <w:pPr>
              <w:rPr>
                <w:rFonts w:ascii="Calibri" w:hAnsi="Calibri" w:cs="Calibri"/>
              </w:rPr>
            </w:pPr>
          </w:p>
        </w:tc>
        <w:tc>
          <w:tcPr>
            <w:tcW w:w="1723" w:type="dxa"/>
            <w:vAlign w:val="center"/>
          </w:tcPr>
          <w:p w14:paraId="162D2245" w14:textId="77777777" w:rsidR="00D213C5" w:rsidRPr="00CF2E7C" w:rsidRDefault="00D213C5" w:rsidP="00D213C5">
            <w:pPr>
              <w:rPr>
                <w:rFonts w:ascii="Calibri" w:hAnsi="Calibri" w:cs="Calibri"/>
              </w:rPr>
            </w:pPr>
          </w:p>
        </w:tc>
      </w:tr>
      <w:tr w:rsidR="00D213C5" w:rsidRPr="00CF2E7C" w14:paraId="4353188A" w14:textId="77777777" w:rsidTr="00CF2E7C">
        <w:trPr>
          <w:trHeight w:val="22"/>
        </w:trPr>
        <w:tc>
          <w:tcPr>
            <w:tcW w:w="1065" w:type="dxa"/>
            <w:vAlign w:val="center"/>
          </w:tcPr>
          <w:p w14:paraId="763B690A" w14:textId="4137462B" w:rsidR="00D213C5" w:rsidRPr="00CF2E7C" w:rsidRDefault="00D213C5" w:rsidP="00D213C5">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D213C5" w:rsidRPr="00CF2E7C" w:rsidRDefault="00D213C5" w:rsidP="00D213C5">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D213C5" w:rsidRPr="00CF2E7C" w:rsidRDefault="00D213C5" w:rsidP="00D213C5">
            <w:pPr>
              <w:rPr>
                <w:rFonts w:ascii="Calibri" w:hAnsi="Calibri" w:cs="Calibri"/>
              </w:rPr>
            </w:pPr>
          </w:p>
        </w:tc>
        <w:tc>
          <w:tcPr>
            <w:tcW w:w="1674" w:type="dxa"/>
            <w:vAlign w:val="center"/>
          </w:tcPr>
          <w:p w14:paraId="70C7517C" w14:textId="77777777" w:rsidR="00D213C5" w:rsidRPr="00CF2E7C" w:rsidRDefault="00D213C5" w:rsidP="00D213C5">
            <w:pPr>
              <w:rPr>
                <w:rFonts w:ascii="Calibri" w:hAnsi="Calibri" w:cs="Calibri"/>
              </w:rPr>
            </w:pPr>
          </w:p>
        </w:tc>
        <w:tc>
          <w:tcPr>
            <w:tcW w:w="1723" w:type="dxa"/>
            <w:vAlign w:val="center"/>
          </w:tcPr>
          <w:p w14:paraId="298DE33B" w14:textId="77777777" w:rsidR="00D213C5" w:rsidRPr="00CF2E7C" w:rsidRDefault="00D213C5" w:rsidP="00D213C5">
            <w:pPr>
              <w:rPr>
                <w:rFonts w:ascii="Calibri" w:hAnsi="Calibri" w:cs="Calibri"/>
              </w:rPr>
            </w:pPr>
          </w:p>
        </w:tc>
      </w:tr>
      <w:tr w:rsidR="00D213C5" w:rsidRPr="00CF2E7C" w14:paraId="0D0336A6" w14:textId="77777777" w:rsidTr="00CF2E7C">
        <w:trPr>
          <w:trHeight w:val="22"/>
        </w:trPr>
        <w:tc>
          <w:tcPr>
            <w:tcW w:w="1065" w:type="dxa"/>
            <w:vAlign w:val="center"/>
          </w:tcPr>
          <w:p w14:paraId="65E13242" w14:textId="367C02C4" w:rsidR="00D213C5" w:rsidRPr="00CF2E7C" w:rsidRDefault="00D213C5" w:rsidP="00D213C5">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D213C5" w:rsidRPr="00CF2E7C" w:rsidRDefault="00D213C5" w:rsidP="00D213C5">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D213C5" w:rsidRPr="00CF2E7C" w:rsidRDefault="00D213C5" w:rsidP="00D213C5">
            <w:pPr>
              <w:rPr>
                <w:rFonts w:ascii="Calibri" w:hAnsi="Calibri" w:cs="Calibri"/>
              </w:rPr>
            </w:pPr>
          </w:p>
        </w:tc>
        <w:tc>
          <w:tcPr>
            <w:tcW w:w="1674" w:type="dxa"/>
            <w:vAlign w:val="center"/>
          </w:tcPr>
          <w:p w14:paraId="583BAE5B" w14:textId="77777777" w:rsidR="00D213C5" w:rsidRPr="00CF2E7C" w:rsidRDefault="00D213C5" w:rsidP="00D213C5">
            <w:pPr>
              <w:rPr>
                <w:rFonts w:ascii="Calibri" w:hAnsi="Calibri" w:cs="Calibri"/>
              </w:rPr>
            </w:pPr>
          </w:p>
        </w:tc>
        <w:tc>
          <w:tcPr>
            <w:tcW w:w="1723" w:type="dxa"/>
            <w:vAlign w:val="center"/>
          </w:tcPr>
          <w:p w14:paraId="049CC376" w14:textId="77777777" w:rsidR="00D213C5" w:rsidRPr="00CF2E7C" w:rsidRDefault="00D213C5" w:rsidP="00D213C5">
            <w:pPr>
              <w:rPr>
                <w:rFonts w:ascii="Calibri" w:hAnsi="Calibri" w:cs="Calibri"/>
              </w:rPr>
            </w:pPr>
          </w:p>
        </w:tc>
      </w:tr>
      <w:tr w:rsidR="00D213C5" w:rsidRPr="00CF2E7C" w14:paraId="2B881C48" w14:textId="77777777" w:rsidTr="00CF2E7C">
        <w:trPr>
          <w:trHeight w:val="22"/>
        </w:trPr>
        <w:tc>
          <w:tcPr>
            <w:tcW w:w="1065" w:type="dxa"/>
            <w:vAlign w:val="center"/>
          </w:tcPr>
          <w:p w14:paraId="4F543B4C" w14:textId="3E75A3FC" w:rsidR="00D213C5" w:rsidRPr="00CF2E7C" w:rsidRDefault="00D213C5" w:rsidP="00D213C5">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D213C5" w:rsidRPr="00CF2E7C" w:rsidRDefault="00D213C5" w:rsidP="00D213C5">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D213C5" w:rsidRPr="00CF2E7C" w:rsidRDefault="00D213C5" w:rsidP="00D213C5">
            <w:pPr>
              <w:rPr>
                <w:rFonts w:ascii="Calibri" w:hAnsi="Calibri" w:cs="Calibri"/>
              </w:rPr>
            </w:pPr>
          </w:p>
        </w:tc>
        <w:tc>
          <w:tcPr>
            <w:tcW w:w="1674" w:type="dxa"/>
            <w:vAlign w:val="center"/>
          </w:tcPr>
          <w:p w14:paraId="346A3E42" w14:textId="77777777" w:rsidR="00D213C5" w:rsidRPr="00CF2E7C" w:rsidRDefault="00D213C5" w:rsidP="00D213C5">
            <w:pPr>
              <w:rPr>
                <w:rFonts w:ascii="Calibri" w:hAnsi="Calibri" w:cs="Calibri"/>
              </w:rPr>
            </w:pPr>
          </w:p>
        </w:tc>
        <w:tc>
          <w:tcPr>
            <w:tcW w:w="1723" w:type="dxa"/>
            <w:vAlign w:val="center"/>
          </w:tcPr>
          <w:p w14:paraId="6AE342D7" w14:textId="77777777" w:rsidR="00D213C5" w:rsidRPr="00CF2E7C" w:rsidRDefault="00D213C5" w:rsidP="00D213C5">
            <w:pPr>
              <w:rPr>
                <w:rFonts w:ascii="Calibri" w:hAnsi="Calibri" w:cs="Calibri"/>
              </w:rPr>
            </w:pPr>
          </w:p>
        </w:tc>
      </w:tr>
      <w:tr w:rsidR="00D213C5" w:rsidRPr="00CF2E7C" w14:paraId="08E3215A" w14:textId="77777777" w:rsidTr="00CF2E7C">
        <w:trPr>
          <w:trHeight w:val="300"/>
        </w:trPr>
        <w:tc>
          <w:tcPr>
            <w:tcW w:w="1065" w:type="dxa"/>
            <w:vAlign w:val="center"/>
          </w:tcPr>
          <w:p w14:paraId="1FB1B878" w14:textId="7D553A9B" w:rsidR="00D213C5" w:rsidRPr="00CF2E7C" w:rsidRDefault="00D213C5" w:rsidP="00D213C5">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D213C5" w:rsidRPr="00CF2E7C" w:rsidRDefault="00D213C5" w:rsidP="00D213C5">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D213C5" w:rsidRPr="00CF2E7C" w:rsidRDefault="00D213C5" w:rsidP="00D213C5">
            <w:pPr>
              <w:rPr>
                <w:rFonts w:ascii="Calibri" w:hAnsi="Calibri" w:cs="Calibri"/>
              </w:rPr>
            </w:pPr>
          </w:p>
        </w:tc>
        <w:tc>
          <w:tcPr>
            <w:tcW w:w="1674" w:type="dxa"/>
            <w:vAlign w:val="center"/>
          </w:tcPr>
          <w:p w14:paraId="36B823FD" w14:textId="77777777" w:rsidR="00D213C5" w:rsidRPr="00CF2E7C" w:rsidRDefault="00D213C5" w:rsidP="00D213C5">
            <w:pPr>
              <w:rPr>
                <w:rFonts w:ascii="Calibri" w:hAnsi="Calibri" w:cs="Calibri"/>
              </w:rPr>
            </w:pPr>
          </w:p>
        </w:tc>
        <w:tc>
          <w:tcPr>
            <w:tcW w:w="1723" w:type="dxa"/>
            <w:vAlign w:val="center"/>
          </w:tcPr>
          <w:p w14:paraId="51496CE3" w14:textId="77777777" w:rsidR="00D213C5" w:rsidRPr="00CF2E7C" w:rsidRDefault="00D213C5" w:rsidP="00D213C5">
            <w:pPr>
              <w:rPr>
                <w:rFonts w:ascii="Calibri" w:hAnsi="Calibri" w:cs="Calibri"/>
              </w:rPr>
            </w:pPr>
          </w:p>
        </w:tc>
      </w:tr>
      <w:tr w:rsidR="00D213C5" w:rsidRPr="00CF2E7C" w14:paraId="13876855" w14:textId="77777777" w:rsidTr="00CF2E7C">
        <w:trPr>
          <w:trHeight w:val="22"/>
        </w:trPr>
        <w:tc>
          <w:tcPr>
            <w:tcW w:w="1065" w:type="dxa"/>
            <w:vAlign w:val="center"/>
          </w:tcPr>
          <w:p w14:paraId="0C8327DB" w14:textId="31E86E6B" w:rsidR="00D213C5" w:rsidRPr="00CF2E7C" w:rsidRDefault="00D213C5" w:rsidP="00D213C5">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D213C5" w:rsidRPr="00CF2E7C" w:rsidRDefault="00D213C5" w:rsidP="00D213C5">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D213C5" w:rsidRPr="00CF2E7C" w:rsidRDefault="00D213C5" w:rsidP="00D213C5">
            <w:pPr>
              <w:rPr>
                <w:rFonts w:ascii="Calibri" w:hAnsi="Calibri" w:cs="Calibri"/>
              </w:rPr>
            </w:pPr>
          </w:p>
        </w:tc>
        <w:tc>
          <w:tcPr>
            <w:tcW w:w="1674" w:type="dxa"/>
            <w:vAlign w:val="center"/>
          </w:tcPr>
          <w:p w14:paraId="71213F0F" w14:textId="77777777" w:rsidR="00D213C5" w:rsidRPr="00CF2E7C" w:rsidRDefault="00D213C5" w:rsidP="00D213C5">
            <w:pPr>
              <w:rPr>
                <w:rFonts w:ascii="Calibri" w:hAnsi="Calibri" w:cs="Calibri"/>
              </w:rPr>
            </w:pPr>
          </w:p>
        </w:tc>
        <w:tc>
          <w:tcPr>
            <w:tcW w:w="1723" w:type="dxa"/>
            <w:vAlign w:val="center"/>
          </w:tcPr>
          <w:p w14:paraId="237D287F" w14:textId="77777777" w:rsidR="00D213C5" w:rsidRPr="00CF2E7C" w:rsidRDefault="00D213C5" w:rsidP="00D213C5">
            <w:pPr>
              <w:rPr>
                <w:rFonts w:ascii="Calibri" w:hAnsi="Calibri" w:cs="Calibri"/>
              </w:rPr>
            </w:pPr>
          </w:p>
        </w:tc>
      </w:tr>
      <w:tr w:rsidR="00D213C5" w:rsidRPr="00CF2E7C" w14:paraId="4D40FE43" w14:textId="77777777" w:rsidTr="00CF2E7C">
        <w:trPr>
          <w:trHeight w:val="300"/>
        </w:trPr>
        <w:tc>
          <w:tcPr>
            <w:tcW w:w="1065" w:type="dxa"/>
            <w:vAlign w:val="center"/>
          </w:tcPr>
          <w:p w14:paraId="4CBA3056" w14:textId="7DA75795" w:rsidR="00D213C5" w:rsidRPr="00CF2E7C" w:rsidRDefault="00D213C5" w:rsidP="00D213C5">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1DDD3A92" w14:textId="77777777" w:rsidR="00D213C5" w:rsidRPr="00CF2E7C" w:rsidRDefault="00D213C5" w:rsidP="00D213C5">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D213C5" w:rsidRPr="00CF2E7C" w:rsidRDefault="00D213C5" w:rsidP="00D213C5">
            <w:pPr>
              <w:rPr>
                <w:rFonts w:ascii="Calibri" w:hAnsi="Calibri" w:cs="Calibri"/>
              </w:rPr>
            </w:pPr>
          </w:p>
        </w:tc>
        <w:tc>
          <w:tcPr>
            <w:tcW w:w="1674" w:type="dxa"/>
            <w:vAlign w:val="center"/>
          </w:tcPr>
          <w:p w14:paraId="27F2E7AF" w14:textId="77777777" w:rsidR="00D213C5" w:rsidRPr="00CF2E7C" w:rsidRDefault="00D213C5" w:rsidP="00D213C5">
            <w:pPr>
              <w:rPr>
                <w:rFonts w:ascii="Calibri" w:hAnsi="Calibri" w:cs="Calibri"/>
              </w:rPr>
            </w:pPr>
          </w:p>
        </w:tc>
        <w:tc>
          <w:tcPr>
            <w:tcW w:w="1723" w:type="dxa"/>
            <w:vAlign w:val="center"/>
          </w:tcPr>
          <w:p w14:paraId="2CAEE982" w14:textId="77777777" w:rsidR="00D213C5" w:rsidRPr="00CF2E7C" w:rsidRDefault="00D213C5" w:rsidP="00D213C5">
            <w:pPr>
              <w:rPr>
                <w:rFonts w:ascii="Calibri" w:hAnsi="Calibri" w:cs="Calibri"/>
              </w:rPr>
            </w:pPr>
          </w:p>
        </w:tc>
      </w:tr>
      <w:tr w:rsidR="00D213C5" w:rsidRPr="00CF2E7C" w14:paraId="65B84C8E" w14:textId="77777777" w:rsidTr="00CF2E7C">
        <w:trPr>
          <w:trHeight w:val="22"/>
        </w:trPr>
        <w:tc>
          <w:tcPr>
            <w:tcW w:w="1065" w:type="dxa"/>
            <w:vAlign w:val="center"/>
          </w:tcPr>
          <w:p w14:paraId="5167289B" w14:textId="36D4A9D6" w:rsidR="00D213C5" w:rsidRPr="00CF2E7C" w:rsidRDefault="00D213C5" w:rsidP="00D213C5">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D213C5" w:rsidRPr="00CF2E7C" w:rsidRDefault="00D213C5" w:rsidP="00D213C5">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D213C5" w:rsidRPr="00CF2E7C" w:rsidRDefault="00D213C5" w:rsidP="00D213C5">
            <w:pPr>
              <w:rPr>
                <w:rFonts w:ascii="Calibri" w:hAnsi="Calibri" w:cs="Calibri"/>
              </w:rPr>
            </w:pPr>
          </w:p>
        </w:tc>
        <w:tc>
          <w:tcPr>
            <w:tcW w:w="1674" w:type="dxa"/>
            <w:vAlign w:val="center"/>
          </w:tcPr>
          <w:p w14:paraId="2CCC6A3E" w14:textId="77777777" w:rsidR="00D213C5" w:rsidRPr="00CF2E7C" w:rsidRDefault="00D213C5" w:rsidP="00D213C5">
            <w:pPr>
              <w:rPr>
                <w:rFonts w:ascii="Calibri" w:hAnsi="Calibri" w:cs="Calibri"/>
              </w:rPr>
            </w:pPr>
          </w:p>
        </w:tc>
        <w:tc>
          <w:tcPr>
            <w:tcW w:w="1723" w:type="dxa"/>
            <w:vAlign w:val="center"/>
          </w:tcPr>
          <w:p w14:paraId="39149581" w14:textId="77777777" w:rsidR="00D213C5" w:rsidRPr="00CF2E7C" w:rsidRDefault="00D213C5" w:rsidP="00D213C5">
            <w:pPr>
              <w:rPr>
                <w:rFonts w:ascii="Calibri" w:hAnsi="Calibri" w:cs="Calibri"/>
              </w:rPr>
            </w:pPr>
          </w:p>
        </w:tc>
      </w:tr>
      <w:tr w:rsidR="00D213C5" w:rsidRPr="00CF2E7C" w14:paraId="02B18A57" w14:textId="77777777" w:rsidTr="00CF2E7C">
        <w:trPr>
          <w:trHeight w:val="300"/>
        </w:trPr>
        <w:tc>
          <w:tcPr>
            <w:tcW w:w="1065" w:type="dxa"/>
            <w:vAlign w:val="center"/>
          </w:tcPr>
          <w:p w14:paraId="6A5DC37E" w14:textId="352B3B79" w:rsidR="00D213C5" w:rsidRPr="00CF2E7C" w:rsidRDefault="00D213C5" w:rsidP="00D213C5">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D213C5" w:rsidRPr="00CF2E7C" w:rsidRDefault="00D213C5" w:rsidP="00D213C5">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D213C5" w:rsidRPr="00CF2E7C" w:rsidRDefault="00D213C5" w:rsidP="00D213C5">
            <w:pPr>
              <w:rPr>
                <w:rFonts w:ascii="Calibri" w:hAnsi="Calibri" w:cs="Calibri"/>
              </w:rPr>
            </w:pPr>
          </w:p>
        </w:tc>
        <w:tc>
          <w:tcPr>
            <w:tcW w:w="1674" w:type="dxa"/>
            <w:vAlign w:val="center"/>
          </w:tcPr>
          <w:p w14:paraId="6DFB7727" w14:textId="77777777" w:rsidR="00D213C5" w:rsidRPr="00CF2E7C" w:rsidRDefault="00D213C5" w:rsidP="00D213C5">
            <w:pPr>
              <w:rPr>
                <w:rFonts w:ascii="Calibri" w:hAnsi="Calibri" w:cs="Calibri"/>
              </w:rPr>
            </w:pPr>
          </w:p>
        </w:tc>
        <w:tc>
          <w:tcPr>
            <w:tcW w:w="1723" w:type="dxa"/>
            <w:vAlign w:val="center"/>
          </w:tcPr>
          <w:p w14:paraId="6316F493" w14:textId="77777777" w:rsidR="00D213C5" w:rsidRPr="00CF2E7C" w:rsidRDefault="00D213C5" w:rsidP="00D213C5">
            <w:pPr>
              <w:rPr>
                <w:rFonts w:ascii="Calibri" w:hAnsi="Calibri" w:cs="Calibri"/>
              </w:rPr>
            </w:pPr>
          </w:p>
        </w:tc>
      </w:tr>
      <w:tr w:rsidR="00D213C5" w:rsidRPr="00CF2E7C" w14:paraId="60EF0DF1" w14:textId="77777777" w:rsidTr="00CF2E7C">
        <w:trPr>
          <w:trHeight w:val="300"/>
        </w:trPr>
        <w:tc>
          <w:tcPr>
            <w:tcW w:w="1065" w:type="dxa"/>
            <w:vAlign w:val="center"/>
          </w:tcPr>
          <w:p w14:paraId="7014E466" w14:textId="65DCF265" w:rsidR="00D213C5" w:rsidRPr="00CF2E7C" w:rsidRDefault="00D213C5" w:rsidP="00D213C5">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D213C5" w:rsidRPr="00CF2E7C" w:rsidRDefault="00D213C5" w:rsidP="00D213C5">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D213C5" w:rsidRPr="00CF2E7C" w:rsidRDefault="00D213C5" w:rsidP="00D213C5">
            <w:pPr>
              <w:rPr>
                <w:rFonts w:ascii="Calibri" w:hAnsi="Calibri" w:cs="Calibri"/>
              </w:rPr>
            </w:pPr>
          </w:p>
        </w:tc>
        <w:tc>
          <w:tcPr>
            <w:tcW w:w="1674" w:type="dxa"/>
            <w:vAlign w:val="center"/>
          </w:tcPr>
          <w:p w14:paraId="1CC9B5C8" w14:textId="77777777" w:rsidR="00D213C5" w:rsidRPr="00CF2E7C" w:rsidRDefault="00D213C5" w:rsidP="00D213C5">
            <w:pPr>
              <w:rPr>
                <w:rFonts w:ascii="Calibri" w:hAnsi="Calibri" w:cs="Calibri"/>
              </w:rPr>
            </w:pPr>
          </w:p>
        </w:tc>
        <w:tc>
          <w:tcPr>
            <w:tcW w:w="1723" w:type="dxa"/>
            <w:vAlign w:val="center"/>
          </w:tcPr>
          <w:p w14:paraId="014F7959" w14:textId="77777777" w:rsidR="00D213C5" w:rsidRPr="00CF2E7C" w:rsidRDefault="00D213C5" w:rsidP="00D213C5">
            <w:pPr>
              <w:rPr>
                <w:rFonts w:ascii="Calibri" w:hAnsi="Calibri" w:cs="Calibri"/>
              </w:rPr>
            </w:pPr>
          </w:p>
        </w:tc>
      </w:tr>
      <w:tr w:rsidR="00D213C5" w:rsidRPr="00CF2E7C" w14:paraId="3C3D711E" w14:textId="77777777" w:rsidTr="00CF2E7C">
        <w:trPr>
          <w:trHeight w:val="300"/>
        </w:trPr>
        <w:tc>
          <w:tcPr>
            <w:tcW w:w="1065" w:type="dxa"/>
            <w:vAlign w:val="center"/>
          </w:tcPr>
          <w:p w14:paraId="4DF6C2BF" w14:textId="445EAF7D" w:rsidR="00D213C5" w:rsidRPr="00CF2E7C" w:rsidRDefault="00D213C5" w:rsidP="00D213C5">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D213C5" w:rsidRPr="00CF2E7C" w:rsidRDefault="00D213C5" w:rsidP="00D213C5">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D213C5" w:rsidRPr="00CF2E7C" w:rsidRDefault="00D213C5" w:rsidP="00D213C5">
            <w:pPr>
              <w:rPr>
                <w:rFonts w:ascii="Calibri" w:hAnsi="Calibri" w:cs="Calibri"/>
              </w:rPr>
            </w:pPr>
          </w:p>
        </w:tc>
        <w:tc>
          <w:tcPr>
            <w:tcW w:w="1674" w:type="dxa"/>
            <w:vAlign w:val="center"/>
          </w:tcPr>
          <w:p w14:paraId="3856D881" w14:textId="77777777" w:rsidR="00D213C5" w:rsidRPr="00CF2E7C" w:rsidRDefault="00D213C5" w:rsidP="00D213C5">
            <w:pPr>
              <w:rPr>
                <w:rFonts w:ascii="Calibri" w:hAnsi="Calibri" w:cs="Calibri"/>
              </w:rPr>
            </w:pPr>
          </w:p>
        </w:tc>
        <w:tc>
          <w:tcPr>
            <w:tcW w:w="1723" w:type="dxa"/>
            <w:vAlign w:val="center"/>
          </w:tcPr>
          <w:p w14:paraId="76BC98C3" w14:textId="77777777" w:rsidR="00D213C5" w:rsidRPr="00CF2E7C" w:rsidRDefault="00D213C5" w:rsidP="00D213C5">
            <w:pPr>
              <w:rPr>
                <w:rFonts w:ascii="Calibri" w:hAnsi="Calibri" w:cs="Calibri"/>
              </w:rPr>
            </w:pPr>
          </w:p>
        </w:tc>
      </w:tr>
      <w:tr w:rsidR="00D213C5" w:rsidRPr="00CF2E7C" w14:paraId="61BE2C5D" w14:textId="77777777" w:rsidTr="00CF2E7C">
        <w:trPr>
          <w:trHeight w:val="300"/>
        </w:trPr>
        <w:tc>
          <w:tcPr>
            <w:tcW w:w="1065" w:type="dxa"/>
            <w:vAlign w:val="center"/>
          </w:tcPr>
          <w:p w14:paraId="1C29648B" w14:textId="4E6597D5" w:rsidR="00D213C5" w:rsidRPr="00CF2E7C" w:rsidRDefault="00D213C5" w:rsidP="00D213C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D213C5" w:rsidRPr="00CF2E7C" w:rsidRDefault="00D213C5" w:rsidP="00D213C5">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D213C5" w:rsidRPr="00CF2E7C" w:rsidRDefault="00D213C5" w:rsidP="00D213C5">
            <w:pPr>
              <w:rPr>
                <w:rFonts w:ascii="Calibri" w:hAnsi="Calibri" w:cs="Calibri"/>
              </w:rPr>
            </w:pPr>
          </w:p>
        </w:tc>
        <w:tc>
          <w:tcPr>
            <w:tcW w:w="1674" w:type="dxa"/>
            <w:vAlign w:val="center"/>
          </w:tcPr>
          <w:p w14:paraId="3C79DD1F" w14:textId="77777777" w:rsidR="00D213C5" w:rsidRPr="00CF2E7C" w:rsidRDefault="00D213C5" w:rsidP="00D213C5">
            <w:pPr>
              <w:rPr>
                <w:rFonts w:ascii="Calibri" w:hAnsi="Calibri" w:cs="Calibri"/>
              </w:rPr>
            </w:pPr>
          </w:p>
        </w:tc>
        <w:tc>
          <w:tcPr>
            <w:tcW w:w="1723" w:type="dxa"/>
            <w:vAlign w:val="center"/>
          </w:tcPr>
          <w:p w14:paraId="2A24D2F8" w14:textId="77777777" w:rsidR="00D213C5" w:rsidRPr="00CF2E7C" w:rsidRDefault="00D213C5" w:rsidP="00D213C5">
            <w:pPr>
              <w:rPr>
                <w:rFonts w:ascii="Calibri" w:hAnsi="Calibri" w:cs="Calibri"/>
              </w:rPr>
            </w:pPr>
          </w:p>
        </w:tc>
      </w:tr>
      <w:tr w:rsidR="00D213C5" w:rsidRPr="00CF2E7C" w14:paraId="63958F64" w14:textId="77777777" w:rsidTr="00CF2E7C">
        <w:trPr>
          <w:trHeight w:val="300"/>
        </w:trPr>
        <w:tc>
          <w:tcPr>
            <w:tcW w:w="1065" w:type="dxa"/>
            <w:vAlign w:val="center"/>
          </w:tcPr>
          <w:p w14:paraId="57B8D56F" w14:textId="57AFCC30" w:rsidR="00D213C5" w:rsidRPr="00CF2E7C" w:rsidRDefault="00D213C5" w:rsidP="00D213C5">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D213C5" w:rsidRPr="00CF2E7C" w:rsidRDefault="00D213C5" w:rsidP="00D213C5">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D213C5" w:rsidRPr="00CF2E7C" w:rsidRDefault="00D213C5" w:rsidP="00D213C5">
            <w:pPr>
              <w:rPr>
                <w:rFonts w:ascii="Calibri" w:hAnsi="Calibri" w:cs="Calibri"/>
              </w:rPr>
            </w:pPr>
          </w:p>
        </w:tc>
        <w:tc>
          <w:tcPr>
            <w:tcW w:w="1674" w:type="dxa"/>
            <w:vAlign w:val="center"/>
          </w:tcPr>
          <w:p w14:paraId="01F43283" w14:textId="77777777" w:rsidR="00D213C5" w:rsidRPr="00CF2E7C" w:rsidRDefault="00D213C5" w:rsidP="00D213C5">
            <w:pPr>
              <w:rPr>
                <w:rFonts w:ascii="Calibri" w:hAnsi="Calibri" w:cs="Calibri"/>
              </w:rPr>
            </w:pPr>
          </w:p>
        </w:tc>
        <w:tc>
          <w:tcPr>
            <w:tcW w:w="1723" w:type="dxa"/>
            <w:vAlign w:val="center"/>
          </w:tcPr>
          <w:p w14:paraId="1042892F" w14:textId="77777777" w:rsidR="00D213C5" w:rsidRPr="00CF2E7C" w:rsidRDefault="00D213C5" w:rsidP="00D213C5">
            <w:pPr>
              <w:rPr>
                <w:rFonts w:ascii="Calibri" w:hAnsi="Calibri" w:cs="Calibri"/>
              </w:rPr>
            </w:pPr>
          </w:p>
        </w:tc>
      </w:tr>
      <w:tr w:rsidR="00D213C5" w:rsidRPr="00CF2E7C" w14:paraId="6499E61A" w14:textId="77777777" w:rsidTr="00CF2E7C">
        <w:trPr>
          <w:trHeight w:val="300"/>
        </w:trPr>
        <w:tc>
          <w:tcPr>
            <w:tcW w:w="1065" w:type="dxa"/>
            <w:vAlign w:val="center"/>
          </w:tcPr>
          <w:p w14:paraId="7BAACC76" w14:textId="40A1EC1B" w:rsidR="00D213C5" w:rsidRPr="00CF2E7C" w:rsidRDefault="00D213C5" w:rsidP="00D213C5">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D213C5" w:rsidRPr="00CF2E7C" w:rsidRDefault="00D213C5" w:rsidP="00D213C5">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D213C5" w:rsidRPr="00CF2E7C" w:rsidRDefault="00D213C5" w:rsidP="00D213C5">
            <w:pPr>
              <w:rPr>
                <w:rFonts w:ascii="Calibri" w:hAnsi="Calibri" w:cs="Calibri"/>
              </w:rPr>
            </w:pPr>
          </w:p>
        </w:tc>
        <w:tc>
          <w:tcPr>
            <w:tcW w:w="1674" w:type="dxa"/>
            <w:vAlign w:val="center"/>
          </w:tcPr>
          <w:p w14:paraId="11414A1B" w14:textId="77777777" w:rsidR="00D213C5" w:rsidRPr="00CF2E7C" w:rsidRDefault="00D213C5" w:rsidP="00D213C5">
            <w:pPr>
              <w:rPr>
                <w:rFonts w:ascii="Calibri" w:hAnsi="Calibri" w:cs="Calibri"/>
              </w:rPr>
            </w:pPr>
          </w:p>
        </w:tc>
        <w:tc>
          <w:tcPr>
            <w:tcW w:w="1723" w:type="dxa"/>
            <w:vAlign w:val="center"/>
          </w:tcPr>
          <w:p w14:paraId="10C4AFD3" w14:textId="77777777" w:rsidR="00D213C5" w:rsidRPr="00CF2E7C" w:rsidRDefault="00D213C5" w:rsidP="00D213C5">
            <w:pPr>
              <w:rPr>
                <w:rFonts w:ascii="Calibri" w:hAnsi="Calibri" w:cs="Calibri"/>
              </w:rPr>
            </w:pPr>
          </w:p>
        </w:tc>
      </w:tr>
      <w:tr w:rsidR="00D213C5" w:rsidRPr="00CF2E7C" w14:paraId="25D09AE2" w14:textId="77777777" w:rsidTr="00CF2E7C">
        <w:trPr>
          <w:trHeight w:val="300"/>
        </w:trPr>
        <w:tc>
          <w:tcPr>
            <w:tcW w:w="1065" w:type="dxa"/>
            <w:vAlign w:val="center"/>
          </w:tcPr>
          <w:p w14:paraId="7F1D52FA" w14:textId="4EAB45BD" w:rsidR="00D213C5" w:rsidRPr="00CF2E7C" w:rsidRDefault="00D213C5" w:rsidP="00D213C5">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D213C5" w:rsidRPr="00CF2E7C" w:rsidRDefault="00D213C5" w:rsidP="00D213C5">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D213C5" w:rsidRPr="00CF2E7C" w:rsidRDefault="00D213C5" w:rsidP="00D213C5">
            <w:pPr>
              <w:rPr>
                <w:rFonts w:ascii="Calibri" w:hAnsi="Calibri" w:cs="Calibri"/>
              </w:rPr>
            </w:pPr>
          </w:p>
        </w:tc>
        <w:tc>
          <w:tcPr>
            <w:tcW w:w="1674" w:type="dxa"/>
            <w:vAlign w:val="center"/>
          </w:tcPr>
          <w:p w14:paraId="4FF9552D" w14:textId="77777777" w:rsidR="00D213C5" w:rsidRPr="00CF2E7C" w:rsidRDefault="00D213C5" w:rsidP="00D213C5">
            <w:pPr>
              <w:rPr>
                <w:rFonts w:ascii="Calibri" w:hAnsi="Calibri" w:cs="Calibri"/>
              </w:rPr>
            </w:pPr>
          </w:p>
        </w:tc>
        <w:tc>
          <w:tcPr>
            <w:tcW w:w="1723" w:type="dxa"/>
            <w:vAlign w:val="center"/>
          </w:tcPr>
          <w:p w14:paraId="2B458A1F" w14:textId="77777777" w:rsidR="00D213C5" w:rsidRPr="00CF2E7C" w:rsidRDefault="00D213C5" w:rsidP="00D213C5">
            <w:pPr>
              <w:rPr>
                <w:rFonts w:ascii="Calibri" w:hAnsi="Calibri" w:cs="Calibri"/>
              </w:rPr>
            </w:pPr>
          </w:p>
        </w:tc>
      </w:tr>
      <w:tr w:rsidR="00D213C5" w:rsidRPr="00CF2E7C" w14:paraId="649A430C" w14:textId="77777777" w:rsidTr="00CF2E7C">
        <w:trPr>
          <w:trHeight w:val="300"/>
        </w:trPr>
        <w:tc>
          <w:tcPr>
            <w:tcW w:w="1065" w:type="dxa"/>
            <w:vAlign w:val="center"/>
          </w:tcPr>
          <w:p w14:paraId="4ED29EDA" w14:textId="466BF028" w:rsidR="00D213C5" w:rsidRPr="00CF2E7C" w:rsidRDefault="00D213C5" w:rsidP="00D213C5">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D213C5" w:rsidRPr="00CF2E7C" w:rsidRDefault="00D213C5" w:rsidP="00D213C5">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D213C5" w:rsidRPr="00CF2E7C" w:rsidRDefault="00D213C5" w:rsidP="00D213C5">
            <w:pPr>
              <w:rPr>
                <w:rFonts w:ascii="Calibri" w:hAnsi="Calibri" w:cs="Calibri"/>
              </w:rPr>
            </w:pPr>
          </w:p>
        </w:tc>
        <w:tc>
          <w:tcPr>
            <w:tcW w:w="1674" w:type="dxa"/>
            <w:vAlign w:val="center"/>
          </w:tcPr>
          <w:p w14:paraId="6A93774C" w14:textId="77777777" w:rsidR="00D213C5" w:rsidRPr="00CF2E7C" w:rsidRDefault="00D213C5" w:rsidP="00D213C5">
            <w:pPr>
              <w:rPr>
                <w:rFonts w:ascii="Calibri" w:hAnsi="Calibri" w:cs="Calibri"/>
              </w:rPr>
            </w:pPr>
          </w:p>
        </w:tc>
        <w:tc>
          <w:tcPr>
            <w:tcW w:w="1723" w:type="dxa"/>
            <w:vAlign w:val="center"/>
          </w:tcPr>
          <w:p w14:paraId="36548C61" w14:textId="77777777" w:rsidR="00D213C5" w:rsidRPr="00CF2E7C" w:rsidRDefault="00D213C5" w:rsidP="00D213C5">
            <w:pPr>
              <w:rPr>
                <w:rFonts w:ascii="Calibri" w:hAnsi="Calibri" w:cs="Calibri"/>
              </w:rPr>
            </w:pPr>
          </w:p>
        </w:tc>
      </w:tr>
      <w:tr w:rsidR="00D213C5" w:rsidRPr="00CF2E7C" w14:paraId="7119A346" w14:textId="77777777" w:rsidTr="00CF2E7C">
        <w:trPr>
          <w:trHeight w:val="300"/>
        </w:trPr>
        <w:tc>
          <w:tcPr>
            <w:tcW w:w="1065" w:type="dxa"/>
            <w:vAlign w:val="center"/>
          </w:tcPr>
          <w:p w14:paraId="0D0B0D16" w14:textId="46BC8427" w:rsidR="00D213C5" w:rsidRPr="00CF2E7C" w:rsidRDefault="00D213C5" w:rsidP="00D213C5">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D213C5" w:rsidRPr="00CF2E7C" w:rsidRDefault="00D213C5" w:rsidP="00D213C5">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D213C5" w:rsidRPr="00CF2E7C" w:rsidRDefault="00D213C5" w:rsidP="00D213C5">
            <w:pPr>
              <w:rPr>
                <w:rFonts w:ascii="Calibri" w:hAnsi="Calibri" w:cs="Calibri"/>
              </w:rPr>
            </w:pPr>
          </w:p>
        </w:tc>
        <w:tc>
          <w:tcPr>
            <w:tcW w:w="1674" w:type="dxa"/>
            <w:vAlign w:val="center"/>
          </w:tcPr>
          <w:p w14:paraId="7D6F70A7" w14:textId="77777777" w:rsidR="00D213C5" w:rsidRPr="00CF2E7C" w:rsidRDefault="00D213C5" w:rsidP="00D213C5">
            <w:pPr>
              <w:rPr>
                <w:rFonts w:ascii="Calibri" w:hAnsi="Calibri" w:cs="Calibri"/>
              </w:rPr>
            </w:pPr>
          </w:p>
        </w:tc>
        <w:tc>
          <w:tcPr>
            <w:tcW w:w="1723" w:type="dxa"/>
            <w:vAlign w:val="center"/>
          </w:tcPr>
          <w:p w14:paraId="3741C46F" w14:textId="77777777" w:rsidR="00D213C5" w:rsidRPr="00CF2E7C" w:rsidRDefault="00D213C5" w:rsidP="00D213C5">
            <w:pPr>
              <w:rPr>
                <w:rFonts w:ascii="Calibri" w:hAnsi="Calibri" w:cs="Calibri"/>
              </w:rPr>
            </w:pPr>
          </w:p>
        </w:tc>
      </w:tr>
      <w:tr w:rsidR="00D213C5" w:rsidRPr="00CF2E7C" w14:paraId="72E640B8" w14:textId="77777777" w:rsidTr="00CF2E7C">
        <w:trPr>
          <w:trHeight w:val="300"/>
        </w:trPr>
        <w:tc>
          <w:tcPr>
            <w:tcW w:w="1065" w:type="dxa"/>
            <w:vAlign w:val="center"/>
          </w:tcPr>
          <w:p w14:paraId="7F99A32C" w14:textId="2CAC3F0F" w:rsidR="00D213C5" w:rsidRPr="00CF2E7C" w:rsidRDefault="00D213C5" w:rsidP="00D213C5">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D213C5" w:rsidRPr="00CF2E7C" w:rsidRDefault="00D213C5" w:rsidP="00D213C5">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D213C5" w:rsidRPr="00CF2E7C" w:rsidRDefault="00D213C5" w:rsidP="00D213C5">
            <w:pPr>
              <w:rPr>
                <w:rFonts w:ascii="Calibri" w:hAnsi="Calibri" w:cs="Calibri"/>
              </w:rPr>
            </w:pPr>
          </w:p>
        </w:tc>
        <w:tc>
          <w:tcPr>
            <w:tcW w:w="1674" w:type="dxa"/>
            <w:vAlign w:val="center"/>
          </w:tcPr>
          <w:p w14:paraId="3EED072C" w14:textId="77777777" w:rsidR="00D213C5" w:rsidRPr="00CF2E7C" w:rsidRDefault="00D213C5" w:rsidP="00D213C5">
            <w:pPr>
              <w:rPr>
                <w:rFonts w:ascii="Calibri" w:hAnsi="Calibri" w:cs="Calibri"/>
              </w:rPr>
            </w:pPr>
          </w:p>
        </w:tc>
        <w:tc>
          <w:tcPr>
            <w:tcW w:w="1723" w:type="dxa"/>
            <w:vAlign w:val="center"/>
          </w:tcPr>
          <w:p w14:paraId="2638FA47" w14:textId="77777777" w:rsidR="00D213C5" w:rsidRPr="00CF2E7C" w:rsidRDefault="00D213C5" w:rsidP="00D213C5">
            <w:pPr>
              <w:rPr>
                <w:rFonts w:ascii="Calibri" w:hAnsi="Calibri" w:cs="Calibri"/>
              </w:rPr>
            </w:pPr>
          </w:p>
        </w:tc>
      </w:tr>
      <w:tr w:rsidR="00D213C5" w:rsidRPr="00CF2E7C" w14:paraId="323ABB7B" w14:textId="77777777" w:rsidTr="00CF2E7C">
        <w:trPr>
          <w:trHeight w:val="300"/>
        </w:trPr>
        <w:tc>
          <w:tcPr>
            <w:tcW w:w="1065" w:type="dxa"/>
            <w:vAlign w:val="center"/>
          </w:tcPr>
          <w:p w14:paraId="064DC543" w14:textId="077A8FCC" w:rsidR="00D213C5" w:rsidRPr="00CF2E7C" w:rsidRDefault="00D213C5" w:rsidP="00D213C5">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D213C5" w:rsidRPr="00CF2E7C" w:rsidRDefault="00D213C5" w:rsidP="00D213C5">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D213C5" w:rsidRPr="00CF2E7C" w:rsidRDefault="00D213C5" w:rsidP="00D213C5">
            <w:pPr>
              <w:rPr>
                <w:rFonts w:ascii="Calibri" w:hAnsi="Calibri" w:cs="Calibri"/>
              </w:rPr>
            </w:pPr>
          </w:p>
        </w:tc>
        <w:tc>
          <w:tcPr>
            <w:tcW w:w="1674" w:type="dxa"/>
            <w:vAlign w:val="center"/>
          </w:tcPr>
          <w:p w14:paraId="54E47F91" w14:textId="77777777" w:rsidR="00D213C5" w:rsidRPr="00CF2E7C" w:rsidRDefault="00D213C5" w:rsidP="00D213C5">
            <w:pPr>
              <w:rPr>
                <w:rFonts w:ascii="Calibri" w:hAnsi="Calibri" w:cs="Calibri"/>
              </w:rPr>
            </w:pPr>
          </w:p>
        </w:tc>
        <w:tc>
          <w:tcPr>
            <w:tcW w:w="1723" w:type="dxa"/>
            <w:vAlign w:val="center"/>
          </w:tcPr>
          <w:p w14:paraId="5CFEB38B" w14:textId="77777777" w:rsidR="00D213C5" w:rsidRPr="00CF2E7C" w:rsidRDefault="00D213C5" w:rsidP="00D213C5">
            <w:pPr>
              <w:rPr>
                <w:rFonts w:ascii="Calibri" w:hAnsi="Calibri" w:cs="Calibri"/>
              </w:rPr>
            </w:pPr>
          </w:p>
        </w:tc>
      </w:tr>
      <w:tr w:rsidR="00D213C5" w:rsidRPr="00CF2E7C" w14:paraId="71382A4F" w14:textId="77777777" w:rsidTr="00CF2E7C">
        <w:trPr>
          <w:trHeight w:val="22"/>
        </w:trPr>
        <w:tc>
          <w:tcPr>
            <w:tcW w:w="1065" w:type="dxa"/>
            <w:vAlign w:val="center"/>
          </w:tcPr>
          <w:p w14:paraId="12372B50" w14:textId="27387719" w:rsidR="00D213C5" w:rsidRPr="00CF2E7C" w:rsidRDefault="00D213C5" w:rsidP="00D213C5">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D213C5" w:rsidRPr="00CF2E7C" w:rsidRDefault="00D213C5" w:rsidP="00D213C5">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D213C5" w:rsidRPr="00CF2E7C" w:rsidRDefault="00D213C5" w:rsidP="00D213C5">
            <w:pPr>
              <w:rPr>
                <w:rFonts w:ascii="Calibri" w:hAnsi="Calibri" w:cs="Calibri"/>
              </w:rPr>
            </w:pPr>
          </w:p>
        </w:tc>
        <w:tc>
          <w:tcPr>
            <w:tcW w:w="1674" w:type="dxa"/>
            <w:vAlign w:val="center"/>
          </w:tcPr>
          <w:p w14:paraId="467CF02B" w14:textId="77777777" w:rsidR="00D213C5" w:rsidRPr="00CF2E7C" w:rsidRDefault="00D213C5" w:rsidP="00D213C5">
            <w:pPr>
              <w:rPr>
                <w:rFonts w:ascii="Calibri" w:hAnsi="Calibri" w:cs="Calibri"/>
              </w:rPr>
            </w:pPr>
          </w:p>
        </w:tc>
        <w:tc>
          <w:tcPr>
            <w:tcW w:w="1723" w:type="dxa"/>
            <w:vAlign w:val="center"/>
          </w:tcPr>
          <w:p w14:paraId="42166BF3" w14:textId="77777777" w:rsidR="00D213C5" w:rsidRPr="00CF2E7C" w:rsidRDefault="00D213C5" w:rsidP="00D213C5">
            <w:pPr>
              <w:rPr>
                <w:rFonts w:ascii="Calibri" w:hAnsi="Calibri" w:cs="Calibri"/>
              </w:rPr>
            </w:pPr>
          </w:p>
        </w:tc>
      </w:tr>
      <w:tr w:rsidR="00D213C5" w:rsidRPr="00CF2E7C" w14:paraId="7E132E64" w14:textId="77777777" w:rsidTr="00CF2E7C">
        <w:trPr>
          <w:trHeight w:val="596"/>
        </w:trPr>
        <w:tc>
          <w:tcPr>
            <w:tcW w:w="1065" w:type="dxa"/>
            <w:vAlign w:val="center"/>
          </w:tcPr>
          <w:p w14:paraId="12BBFB28" w14:textId="6F8E329A" w:rsidR="00D213C5" w:rsidRPr="00CF2E7C" w:rsidRDefault="00D213C5" w:rsidP="00D213C5">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D213C5" w:rsidRPr="00CF2E7C" w:rsidRDefault="00D213C5" w:rsidP="00D213C5">
            <w:pPr>
              <w:rPr>
                <w:rFonts w:ascii="Calibri" w:hAnsi="Calibri" w:cs="Calibri"/>
              </w:rPr>
            </w:pPr>
            <w:r w:rsidRPr="00CF2E7C">
              <w:rPr>
                <w:rFonts w:ascii="Calibri" w:hAnsi="Calibri" w:cs="Calibri"/>
              </w:rPr>
              <w:t>If “Other” selected, please explain.</w:t>
            </w:r>
          </w:p>
        </w:tc>
      </w:tr>
      <w:tr w:rsidR="00D213C5" w:rsidRPr="00CF2E7C" w14:paraId="3279739D" w14:textId="77777777" w:rsidTr="00CF2E7C">
        <w:trPr>
          <w:trHeight w:val="1020"/>
        </w:trPr>
        <w:tc>
          <w:tcPr>
            <w:tcW w:w="1065" w:type="dxa"/>
            <w:vAlign w:val="center"/>
          </w:tcPr>
          <w:p w14:paraId="40E7A365" w14:textId="77777777" w:rsidR="00D213C5" w:rsidRPr="00CF2E7C" w:rsidRDefault="00D213C5" w:rsidP="00D213C5">
            <w:pPr>
              <w:rPr>
                <w:rFonts w:ascii="Calibri" w:hAnsi="Calibri" w:cs="Calibri"/>
              </w:rPr>
            </w:pPr>
          </w:p>
        </w:tc>
        <w:tc>
          <w:tcPr>
            <w:tcW w:w="9375" w:type="dxa"/>
            <w:gridSpan w:val="7"/>
            <w:vAlign w:val="center"/>
          </w:tcPr>
          <w:p w14:paraId="11743748" w14:textId="77777777" w:rsidR="00D213C5" w:rsidRPr="00CF2E7C" w:rsidRDefault="00D213C5" w:rsidP="00D213C5">
            <w:pPr>
              <w:rPr>
                <w:rFonts w:ascii="Calibri" w:hAnsi="Calibri" w:cs="Calibri"/>
              </w:rPr>
            </w:pPr>
          </w:p>
        </w:tc>
      </w:tr>
      <w:tr w:rsidR="00D213C5" w:rsidRPr="00CF2E7C" w14:paraId="564FCBE7" w14:textId="77777777" w:rsidTr="00CF2E7C">
        <w:trPr>
          <w:trHeight w:val="596"/>
        </w:trPr>
        <w:tc>
          <w:tcPr>
            <w:tcW w:w="1065" w:type="dxa"/>
            <w:vAlign w:val="center"/>
          </w:tcPr>
          <w:p w14:paraId="7855192F" w14:textId="6521162C" w:rsidR="00D213C5" w:rsidRPr="00CF2E7C" w:rsidRDefault="00D213C5" w:rsidP="00D213C5">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D213C5" w:rsidRPr="00CF2E7C" w:rsidRDefault="00D213C5" w:rsidP="00D213C5">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D213C5" w:rsidRPr="00CF2E7C" w:rsidRDefault="00D213C5" w:rsidP="00D213C5">
            <w:pPr>
              <w:rPr>
                <w:rFonts w:ascii="Calibri" w:hAnsi="Calibri" w:cs="Calibri"/>
              </w:rPr>
            </w:pPr>
          </w:p>
          <w:p w14:paraId="0E365B0D" w14:textId="77777777" w:rsidR="00D213C5" w:rsidRPr="00CF2E7C" w:rsidRDefault="00D213C5" w:rsidP="00D213C5">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213C5" w:rsidRPr="00CF2E7C" w14:paraId="6FA78B08" w14:textId="77777777" w:rsidTr="00CF2E7C">
        <w:trPr>
          <w:trHeight w:val="1020"/>
        </w:trPr>
        <w:tc>
          <w:tcPr>
            <w:tcW w:w="1065" w:type="dxa"/>
            <w:vAlign w:val="center"/>
          </w:tcPr>
          <w:p w14:paraId="4E4E3003" w14:textId="77777777" w:rsidR="00D213C5" w:rsidRPr="00CF2E7C" w:rsidRDefault="00D213C5" w:rsidP="00D213C5">
            <w:pPr>
              <w:rPr>
                <w:rFonts w:ascii="Calibri" w:hAnsi="Calibri" w:cs="Calibri"/>
              </w:rPr>
            </w:pPr>
          </w:p>
        </w:tc>
        <w:tc>
          <w:tcPr>
            <w:tcW w:w="9375" w:type="dxa"/>
            <w:gridSpan w:val="7"/>
            <w:vAlign w:val="center"/>
          </w:tcPr>
          <w:p w14:paraId="2894CDCA" w14:textId="77777777" w:rsidR="00D213C5" w:rsidRPr="00CF2E7C" w:rsidRDefault="00D213C5" w:rsidP="00D213C5">
            <w:pPr>
              <w:rPr>
                <w:rFonts w:ascii="Calibri" w:hAnsi="Calibri" w:cs="Calibri"/>
              </w:rPr>
            </w:pPr>
          </w:p>
        </w:tc>
      </w:tr>
      <w:tr w:rsidR="00D213C5" w:rsidRPr="00CF2E7C" w14:paraId="51E958C4" w14:textId="77777777" w:rsidTr="00CF2E7C">
        <w:trPr>
          <w:trHeight w:val="800"/>
        </w:trPr>
        <w:tc>
          <w:tcPr>
            <w:tcW w:w="1065" w:type="dxa"/>
            <w:vAlign w:val="center"/>
          </w:tcPr>
          <w:p w14:paraId="098DAB25" w14:textId="38C28E13" w:rsidR="00D213C5" w:rsidRPr="00CF2E7C" w:rsidRDefault="00D213C5" w:rsidP="00D213C5">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D213C5" w:rsidRPr="00CF2E7C" w:rsidRDefault="00D213C5" w:rsidP="00D213C5">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213C5" w:rsidRPr="00CF2E7C" w14:paraId="6E2EE480" w14:textId="77777777" w:rsidTr="00CF2E7C">
        <w:trPr>
          <w:trHeight w:val="440"/>
        </w:trPr>
        <w:tc>
          <w:tcPr>
            <w:tcW w:w="1065" w:type="dxa"/>
            <w:vAlign w:val="center"/>
          </w:tcPr>
          <w:p w14:paraId="7FFF4711" w14:textId="77777777" w:rsidR="00D213C5" w:rsidRPr="00CF2E7C" w:rsidRDefault="00D213C5" w:rsidP="00D213C5">
            <w:pPr>
              <w:rPr>
                <w:rFonts w:ascii="Calibri" w:hAnsi="Calibri" w:cs="Calibri"/>
              </w:rPr>
            </w:pPr>
          </w:p>
        </w:tc>
        <w:tc>
          <w:tcPr>
            <w:tcW w:w="4392" w:type="dxa"/>
            <w:gridSpan w:val="2"/>
            <w:shd w:val="clear" w:color="auto" w:fill="DEEAF6" w:themeFill="accent5" w:themeFillTint="33"/>
            <w:vAlign w:val="center"/>
          </w:tcPr>
          <w:p w14:paraId="7F565EA5" w14:textId="77777777" w:rsidR="00D213C5" w:rsidRPr="00CF2E7C" w:rsidRDefault="00D213C5" w:rsidP="00D213C5">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D213C5" w:rsidRPr="00CF2E7C" w:rsidRDefault="00D213C5" w:rsidP="00D213C5">
            <w:pPr>
              <w:rPr>
                <w:rFonts w:ascii="Calibri" w:hAnsi="Calibri" w:cs="Calibri"/>
              </w:rPr>
            </w:pPr>
            <w:r w:rsidRPr="00CF2E7C">
              <w:rPr>
                <w:rFonts w:ascii="Calibri" w:hAnsi="Calibri" w:cs="Calibri"/>
              </w:rPr>
              <w:t>Describe</w:t>
            </w:r>
          </w:p>
        </w:tc>
      </w:tr>
      <w:tr w:rsidR="00D213C5" w:rsidRPr="00CF2E7C" w14:paraId="79AFDAFF" w14:textId="77777777" w:rsidTr="00CF2E7C">
        <w:trPr>
          <w:trHeight w:val="620"/>
        </w:trPr>
        <w:tc>
          <w:tcPr>
            <w:tcW w:w="1065" w:type="dxa"/>
            <w:vAlign w:val="center"/>
          </w:tcPr>
          <w:p w14:paraId="1800FC09" w14:textId="17FC3FEE" w:rsidR="00D213C5" w:rsidRPr="00CF2E7C" w:rsidRDefault="00D213C5" w:rsidP="00D213C5">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D213C5" w:rsidRPr="00CF2E7C" w:rsidRDefault="00D213C5" w:rsidP="00D213C5">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vAlign w:val="center"/>
          </w:tcPr>
          <w:p w14:paraId="1F757FAD" w14:textId="77777777" w:rsidR="00D213C5" w:rsidRPr="00CF2E7C" w:rsidRDefault="00D213C5" w:rsidP="00D213C5">
            <w:pPr>
              <w:rPr>
                <w:rFonts w:ascii="Calibri" w:hAnsi="Calibri" w:cs="Calibri"/>
              </w:rPr>
            </w:pPr>
          </w:p>
        </w:tc>
      </w:tr>
      <w:tr w:rsidR="00D213C5" w:rsidRPr="00CF2E7C" w14:paraId="175FD6D9" w14:textId="77777777" w:rsidTr="00CF2E7C">
        <w:trPr>
          <w:trHeight w:val="440"/>
        </w:trPr>
        <w:tc>
          <w:tcPr>
            <w:tcW w:w="1065" w:type="dxa"/>
            <w:vAlign w:val="center"/>
          </w:tcPr>
          <w:p w14:paraId="6A716FF4" w14:textId="25583D9B" w:rsidR="00D213C5" w:rsidRPr="00CF2E7C" w:rsidRDefault="00D213C5" w:rsidP="00D213C5">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D213C5" w:rsidRPr="00CF2E7C" w:rsidRDefault="00D213C5" w:rsidP="00D213C5">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D213C5" w:rsidRPr="00CF2E7C" w:rsidRDefault="00D213C5" w:rsidP="00D213C5">
            <w:pPr>
              <w:rPr>
                <w:rFonts w:ascii="Calibri" w:hAnsi="Calibri" w:cs="Calibri"/>
              </w:rPr>
            </w:pPr>
          </w:p>
        </w:tc>
      </w:tr>
      <w:tr w:rsidR="00D213C5" w:rsidRPr="00A74833" w14:paraId="435F1C53" w14:textId="77777777" w:rsidTr="00CF2E7C">
        <w:trPr>
          <w:trHeight w:val="440"/>
        </w:trPr>
        <w:tc>
          <w:tcPr>
            <w:tcW w:w="1065" w:type="dxa"/>
            <w:vAlign w:val="center"/>
          </w:tcPr>
          <w:p w14:paraId="52C1F3C2" w14:textId="7360D480" w:rsidR="00D213C5" w:rsidRPr="00CF2E7C" w:rsidRDefault="00D213C5" w:rsidP="00D213C5">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D213C5" w:rsidRPr="00CF2E7C" w:rsidRDefault="00D213C5" w:rsidP="00D213C5">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D213C5" w:rsidRPr="00CF2E7C" w:rsidRDefault="00D213C5" w:rsidP="00D213C5">
            <w:pPr>
              <w:rPr>
                <w:rFonts w:ascii="Calibri" w:hAnsi="Calibri" w:cs="Calibri"/>
                <w:lang w:val="sv-SE"/>
              </w:rPr>
            </w:pPr>
          </w:p>
        </w:tc>
      </w:tr>
      <w:tr w:rsidR="00D213C5" w:rsidRPr="00CF2E7C" w14:paraId="5BE7A2DE" w14:textId="77777777" w:rsidTr="00CF2E7C">
        <w:trPr>
          <w:trHeight w:val="620"/>
        </w:trPr>
        <w:tc>
          <w:tcPr>
            <w:tcW w:w="1065" w:type="dxa"/>
            <w:vAlign w:val="center"/>
          </w:tcPr>
          <w:p w14:paraId="32CE7385" w14:textId="62479BB8" w:rsidR="00D213C5" w:rsidRPr="00CF2E7C" w:rsidRDefault="00D213C5" w:rsidP="00D213C5">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D213C5" w:rsidRPr="00CF2E7C" w:rsidRDefault="00D213C5" w:rsidP="00D213C5">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D213C5" w:rsidRPr="00CF2E7C" w:rsidRDefault="00D213C5" w:rsidP="00D213C5">
            <w:pPr>
              <w:rPr>
                <w:rFonts w:ascii="Calibri" w:hAnsi="Calibri" w:cs="Calibri"/>
              </w:rPr>
            </w:pPr>
          </w:p>
        </w:tc>
      </w:tr>
      <w:tr w:rsidR="00D213C5" w:rsidRPr="00CF2E7C" w14:paraId="3E9042FC" w14:textId="77777777" w:rsidTr="00CF2E7C">
        <w:trPr>
          <w:trHeight w:val="440"/>
        </w:trPr>
        <w:tc>
          <w:tcPr>
            <w:tcW w:w="1065" w:type="dxa"/>
            <w:vAlign w:val="center"/>
          </w:tcPr>
          <w:p w14:paraId="606011F6" w14:textId="46F1073E" w:rsidR="00D213C5" w:rsidRPr="00CF2E7C" w:rsidRDefault="00D213C5" w:rsidP="00D213C5">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D213C5" w:rsidRPr="00CF2E7C" w:rsidRDefault="00D213C5" w:rsidP="00D213C5">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D213C5" w:rsidRPr="00CF2E7C" w:rsidRDefault="00D213C5" w:rsidP="00D213C5">
            <w:pPr>
              <w:rPr>
                <w:rFonts w:ascii="Calibri" w:hAnsi="Calibri" w:cs="Calibri"/>
              </w:rPr>
            </w:pPr>
          </w:p>
        </w:tc>
      </w:tr>
      <w:tr w:rsidR="00B66887" w:rsidRPr="00CF2E7C" w14:paraId="53CFCC84" w14:textId="77777777" w:rsidTr="00CF2E7C">
        <w:trPr>
          <w:trHeight w:val="350"/>
        </w:trPr>
        <w:tc>
          <w:tcPr>
            <w:tcW w:w="1065" w:type="dxa"/>
            <w:vAlign w:val="center"/>
          </w:tcPr>
          <w:p w14:paraId="3F668135" w14:textId="5DBA3DB1" w:rsidR="00B66887" w:rsidRPr="00CF2E7C" w:rsidRDefault="00B66887" w:rsidP="00B66887">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B66887" w:rsidRPr="00CF2E7C" w:rsidRDefault="00B66887" w:rsidP="00B66887">
            <w:pPr>
              <w:rPr>
                <w:rFonts w:ascii="Calibri" w:hAnsi="Calibri" w:cs="Calibri"/>
              </w:rPr>
            </w:pPr>
            <w:r w:rsidRPr="00CF2E7C">
              <w:rPr>
                <w:rFonts w:ascii="Calibri" w:hAnsi="Calibri" w:cs="Calibri"/>
              </w:rPr>
              <w:t>Other</w:t>
            </w:r>
          </w:p>
        </w:tc>
        <w:tc>
          <w:tcPr>
            <w:tcW w:w="4983" w:type="dxa"/>
            <w:gridSpan w:val="5"/>
            <w:vAlign w:val="center"/>
          </w:tcPr>
          <w:p w14:paraId="3B9810F8" w14:textId="7C846649" w:rsidR="00B66887" w:rsidRPr="00CF2E7C" w:rsidRDefault="00B66887" w:rsidP="00B66887">
            <w:pPr>
              <w:rPr>
                <w:rFonts w:ascii="Calibri" w:hAnsi="Calibri" w:cs="Calibri"/>
              </w:rPr>
            </w:pPr>
            <w:r>
              <w:rPr>
                <w:rFonts w:ascii="Calibri" w:hAnsi="Calibri" w:cs="Calibri"/>
              </w:rPr>
              <w:t xml:space="preserve">Entities emitting 10.000 tons of CO2 equivalent of more per year </w:t>
            </w:r>
            <w:r w:rsidRPr="00972B4F">
              <w:rPr>
                <w:rFonts w:ascii="Calibri" w:hAnsi="Calibri" w:cs="Calibri"/>
              </w:rPr>
              <w:t>are required to monitor and report their emissions.</w:t>
            </w:r>
            <w:r>
              <w:rPr>
                <w:rFonts w:ascii="Calibri" w:hAnsi="Calibri" w:cs="Calibri"/>
              </w:rPr>
              <w:t xml:space="preserve"> Entities emitting 25.000 tons of CO2 or more per year </w:t>
            </w:r>
            <w:r w:rsidRPr="003D377C">
              <w:rPr>
                <w:rFonts w:ascii="Calibri" w:hAnsi="Calibri" w:cs="Calibri"/>
              </w:rPr>
              <w:t>or more annually, the full compliance obligation applies, meaning they must also surrender a corresponding number of emission allowances to cover their total verified emissions.</w:t>
            </w:r>
          </w:p>
        </w:tc>
      </w:tr>
      <w:tr w:rsidR="00B66887" w:rsidRPr="00CF2E7C" w14:paraId="72491331" w14:textId="77777777" w:rsidTr="00CF2E7C">
        <w:trPr>
          <w:trHeight w:val="710"/>
        </w:trPr>
        <w:tc>
          <w:tcPr>
            <w:tcW w:w="1065" w:type="dxa"/>
            <w:vAlign w:val="center"/>
          </w:tcPr>
          <w:p w14:paraId="65E5B64C" w14:textId="0AB8B13C" w:rsidR="00B66887" w:rsidRPr="00CF2E7C" w:rsidRDefault="00B66887" w:rsidP="00B66887">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B66887" w:rsidRPr="00CF2E7C" w:rsidRDefault="00B66887" w:rsidP="00B66887">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B66887" w:rsidRPr="00CF2E7C" w14:paraId="13D6517F" w14:textId="77777777" w:rsidTr="00CF2E7C">
        <w:trPr>
          <w:trHeight w:val="440"/>
        </w:trPr>
        <w:tc>
          <w:tcPr>
            <w:tcW w:w="1065" w:type="dxa"/>
            <w:vAlign w:val="center"/>
          </w:tcPr>
          <w:p w14:paraId="78723449" w14:textId="1EADD388" w:rsidR="00B66887" w:rsidRPr="00CF2E7C" w:rsidRDefault="00B66887" w:rsidP="00B66887">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B66887" w:rsidRPr="00CF2E7C" w:rsidRDefault="00B66887" w:rsidP="00B66887">
            <w:pPr>
              <w:rPr>
                <w:rFonts w:ascii="Calibri" w:hAnsi="Calibri" w:cs="Calibri"/>
              </w:rPr>
            </w:pPr>
            <w:r w:rsidRPr="00CF2E7C">
              <w:rPr>
                <w:rFonts w:ascii="Calibri" w:hAnsi="Calibri" w:cs="Calibri"/>
              </w:rPr>
              <w:t>No</w:t>
            </w:r>
          </w:p>
        </w:tc>
        <w:tc>
          <w:tcPr>
            <w:tcW w:w="4983" w:type="dxa"/>
            <w:gridSpan w:val="5"/>
            <w:vAlign w:val="center"/>
          </w:tcPr>
          <w:p w14:paraId="2D759B5F" w14:textId="5D2158CF" w:rsidR="00B66887" w:rsidRPr="00CF2E7C" w:rsidRDefault="00354A7A" w:rsidP="00B66887">
            <w:pPr>
              <w:rPr>
                <w:rFonts w:ascii="Calibri" w:hAnsi="Calibri" w:cs="Calibri"/>
              </w:rPr>
            </w:pPr>
            <w:r>
              <w:rPr>
                <w:rFonts w:ascii="Calibri" w:hAnsi="Calibri" w:cs="Calibri"/>
              </w:rPr>
              <w:t>X</w:t>
            </w:r>
          </w:p>
        </w:tc>
      </w:tr>
      <w:tr w:rsidR="00B66887" w:rsidRPr="00CF2E7C" w14:paraId="00E55278" w14:textId="77777777" w:rsidTr="00CF2E7C">
        <w:trPr>
          <w:trHeight w:val="440"/>
        </w:trPr>
        <w:tc>
          <w:tcPr>
            <w:tcW w:w="1065" w:type="dxa"/>
            <w:vAlign w:val="center"/>
          </w:tcPr>
          <w:p w14:paraId="200141A4" w14:textId="33BCA8ED" w:rsidR="00B66887" w:rsidRPr="00CF2E7C" w:rsidRDefault="00B66887" w:rsidP="00B66887">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B66887" w:rsidRPr="00CF2E7C" w:rsidRDefault="00B66887" w:rsidP="00B66887">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B66887" w:rsidRPr="00CF2E7C" w:rsidRDefault="00B66887" w:rsidP="00B66887">
            <w:pPr>
              <w:rPr>
                <w:rFonts w:ascii="Calibri" w:hAnsi="Calibri" w:cs="Calibri"/>
              </w:rPr>
            </w:pPr>
          </w:p>
        </w:tc>
      </w:tr>
      <w:tr w:rsidR="00B66887" w:rsidRPr="00CF2E7C" w14:paraId="3FE2F4ED" w14:textId="77777777" w:rsidTr="00CF2E7C">
        <w:trPr>
          <w:trHeight w:val="440"/>
        </w:trPr>
        <w:tc>
          <w:tcPr>
            <w:tcW w:w="1065" w:type="dxa"/>
            <w:vAlign w:val="center"/>
          </w:tcPr>
          <w:p w14:paraId="78997EFC" w14:textId="761BDDD0" w:rsidR="00B66887" w:rsidRPr="00CF2E7C" w:rsidRDefault="00B66887" w:rsidP="00B66887">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B66887" w:rsidRPr="00CF2E7C" w:rsidRDefault="00B66887" w:rsidP="00B66887">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B66887" w:rsidRPr="00CF2E7C" w:rsidRDefault="00B66887" w:rsidP="00B66887">
            <w:pPr>
              <w:rPr>
                <w:rFonts w:ascii="Calibri" w:hAnsi="Calibri" w:cs="Calibri"/>
              </w:rPr>
            </w:pPr>
          </w:p>
        </w:tc>
      </w:tr>
      <w:tr w:rsidR="00B66887" w:rsidRPr="00CF2E7C" w14:paraId="62522D66" w14:textId="77777777" w:rsidTr="00CF2E7C">
        <w:trPr>
          <w:trHeight w:val="889"/>
        </w:trPr>
        <w:tc>
          <w:tcPr>
            <w:tcW w:w="1065" w:type="dxa"/>
            <w:vAlign w:val="center"/>
          </w:tcPr>
          <w:p w14:paraId="00DAF79A" w14:textId="71C636FD" w:rsidR="00B66887" w:rsidRPr="00CF2E7C" w:rsidRDefault="00B66887" w:rsidP="00B66887">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B66887" w:rsidRPr="00CF2E7C" w:rsidRDefault="00B66887" w:rsidP="00B6688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B66887" w:rsidRPr="00CF2E7C" w14:paraId="7C2B0C27" w14:textId="77777777" w:rsidTr="00CF2E7C">
        <w:trPr>
          <w:trHeight w:val="1020"/>
        </w:trPr>
        <w:tc>
          <w:tcPr>
            <w:tcW w:w="1065" w:type="dxa"/>
            <w:vAlign w:val="center"/>
          </w:tcPr>
          <w:p w14:paraId="05A494EC" w14:textId="77777777" w:rsidR="00B66887" w:rsidRPr="00CF2E7C" w:rsidRDefault="00B66887" w:rsidP="00B66887">
            <w:pPr>
              <w:rPr>
                <w:rFonts w:ascii="Calibri" w:hAnsi="Calibri" w:cs="Calibri"/>
              </w:rPr>
            </w:pPr>
          </w:p>
        </w:tc>
        <w:tc>
          <w:tcPr>
            <w:tcW w:w="9375" w:type="dxa"/>
            <w:gridSpan w:val="7"/>
            <w:vAlign w:val="center"/>
          </w:tcPr>
          <w:p w14:paraId="15F1E6AC" w14:textId="77777777" w:rsidR="00B66887" w:rsidRPr="00CF2E7C" w:rsidRDefault="00B66887" w:rsidP="00B66887">
            <w:pPr>
              <w:rPr>
                <w:rFonts w:ascii="Calibri" w:hAnsi="Calibri" w:cs="Calibri"/>
              </w:rPr>
            </w:pPr>
          </w:p>
        </w:tc>
      </w:tr>
      <w:tr w:rsidR="00B66887" w:rsidRPr="00CF2E7C" w14:paraId="31B5DE81" w14:textId="77777777" w:rsidTr="00CF2E7C">
        <w:trPr>
          <w:trHeight w:val="22"/>
        </w:trPr>
        <w:tc>
          <w:tcPr>
            <w:tcW w:w="1065" w:type="dxa"/>
            <w:vAlign w:val="center"/>
          </w:tcPr>
          <w:p w14:paraId="1A7E32CD" w14:textId="53DA93E0" w:rsidR="00B66887" w:rsidRPr="00CF2E7C" w:rsidRDefault="00B66887" w:rsidP="00B66887">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B66887" w:rsidRPr="00CF2E7C" w:rsidRDefault="00B66887" w:rsidP="00B6688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B66887" w:rsidRPr="00CF2E7C" w14:paraId="5CF16B60" w14:textId="77777777" w:rsidTr="00CF2E7C">
        <w:trPr>
          <w:trHeight w:val="23"/>
        </w:trPr>
        <w:tc>
          <w:tcPr>
            <w:tcW w:w="1065" w:type="dxa"/>
            <w:vAlign w:val="center"/>
          </w:tcPr>
          <w:p w14:paraId="70EDE213" w14:textId="7E83BE5C" w:rsidR="00B66887" w:rsidRPr="00CF2E7C" w:rsidRDefault="00B66887" w:rsidP="00B6688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B66887" w:rsidRPr="00CF2E7C" w:rsidRDefault="00B66887" w:rsidP="00B66887">
            <w:pPr>
              <w:rPr>
                <w:rFonts w:ascii="Calibri" w:hAnsi="Calibri" w:cs="Calibri"/>
              </w:rPr>
            </w:pPr>
            <w:r w:rsidRPr="00CF2E7C">
              <w:rPr>
                <w:rFonts w:ascii="Calibri" w:hAnsi="Calibri" w:cs="Calibri"/>
              </w:rPr>
              <w:t>Monetary fine</w:t>
            </w:r>
          </w:p>
        </w:tc>
        <w:tc>
          <w:tcPr>
            <w:tcW w:w="4204" w:type="dxa"/>
            <w:gridSpan w:val="3"/>
            <w:vAlign w:val="center"/>
          </w:tcPr>
          <w:p w14:paraId="7359F3F8" w14:textId="3ECEF134" w:rsidR="00B66887" w:rsidRPr="00CF2E7C" w:rsidRDefault="006D2DE7" w:rsidP="00B66887">
            <w:pPr>
              <w:rPr>
                <w:rFonts w:ascii="Calibri" w:hAnsi="Calibri" w:cs="Calibri"/>
              </w:rPr>
            </w:pPr>
            <w:r>
              <w:rPr>
                <w:rFonts w:ascii="Calibri" w:hAnsi="Calibri" w:cs="Calibri"/>
              </w:rPr>
              <w:t>X</w:t>
            </w:r>
          </w:p>
        </w:tc>
      </w:tr>
      <w:tr w:rsidR="00B66887" w:rsidRPr="00CF2E7C" w14:paraId="2E2F02C2" w14:textId="77777777" w:rsidTr="00CF2E7C">
        <w:trPr>
          <w:trHeight w:val="20"/>
        </w:trPr>
        <w:tc>
          <w:tcPr>
            <w:tcW w:w="1065" w:type="dxa"/>
            <w:vAlign w:val="center"/>
          </w:tcPr>
          <w:p w14:paraId="34B12C80" w14:textId="42571BE2" w:rsidR="00B66887" w:rsidRPr="00CF2E7C" w:rsidRDefault="00B66887" w:rsidP="00B6688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B66887" w:rsidRPr="00CF2E7C" w:rsidRDefault="00B66887" w:rsidP="00B66887">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24082A50" w:rsidR="00B66887" w:rsidRPr="00CF2E7C" w:rsidRDefault="006D2DE7" w:rsidP="00B66887">
            <w:pPr>
              <w:rPr>
                <w:rFonts w:ascii="Calibri" w:hAnsi="Calibri" w:cs="Calibri"/>
              </w:rPr>
            </w:pPr>
            <w:r>
              <w:rPr>
                <w:rFonts w:ascii="Calibri" w:hAnsi="Calibri" w:cs="Calibri"/>
              </w:rPr>
              <w:t>X</w:t>
            </w:r>
          </w:p>
        </w:tc>
      </w:tr>
      <w:tr w:rsidR="00B66887" w:rsidRPr="00CF2E7C" w14:paraId="2A7D6F86" w14:textId="77777777" w:rsidTr="00CF2E7C">
        <w:trPr>
          <w:trHeight w:val="20"/>
        </w:trPr>
        <w:tc>
          <w:tcPr>
            <w:tcW w:w="1065" w:type="dxa"/>
            <w:vAlign w:val="center"/>
          </w:tcPr>
          <w:p w14:paraId="5C898C77" w14:textId="779FA4E9" w:rsidR="00B66887" w:rsidRPr="00CF2E7C" w:rsidRDefault="00B66887" w:rsidP="00B66887">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B66887" w:rsidRPr="00CF2E7C" w:rsidRDefault="00B66887" w:rsidP="00B66887">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B66887" w:rsidRPr="00CF2E7C" w:rsidRDefault="00B66887" w:rsidP="00B66887">
            <w:pPr>
              <w:rPr>
                <w:rFonts w:ascii="Calibri" w:hAnsi="Calibri" w:cs="Calibri"/>
              </w:rPr>
            </w:pPr>
          </w:p>
        </w:tc>
      </w:tr>
      <w:tr w:rsidR="00B66887" w:rsidRPr="00CF2E7C" w14:paraId="30191236" w14:textId="77777777" w:rsidTr="00CF2E7C">
        <w:trPr>
          <w:trHeight w:val="20"/>
        </w:trPr>
        <w:tc>
          <w:tcPr>
            <w:tcW w:w="1065" w:type="dxa"/>
            <w:vAlign w:val="center"/>
          </w:tcPr>
          <w:p w14:paraId="292C3F46" w14:textId="1E58D609" w:rsidR="00B66887" w:rsidRPr="00CF2E7C" w:rsidRDefault="00B66887" w:rsidP="00B66887">
            <w:pPr>
              <w:rPr>
                <w:rFonts w:ascii="Calibri" w:hAnsi="Calibri" w:cs="Calibri"/>
              </w:rPr>
            </w:pPr>
            <w:r w:rsidRPr="00CF2E7C">
              <w:rPr>
                <w:rFonts w:ascii="Calibri" w:hAnsi="Calibri" w:cs="Calibri"/>
              </w:rPr>
              <w:lastRenderedPageBreak/>
              <w:t>4.8.4</w:t>
            </w:r>
          </w:p>
        </w:tc>
        <w:tc>
          <w:tcPr>
            <w:tcW w:w="5171" w:type="dxa"/>
            <w:gridSpan w:val="4"/>
            <w:shd w:val="clear" w:color="auto" w:fill="E2EFD9" w:themeFill="accent6" w:themeFillTint="33"/>
            <w:vAlign w:val="center"/>
          </w:tcPr>
          <w:p w14:paraId="218420DF" w14:textId="77777777" w:rsidR="00B66887" w:rsidRPr="00CF2E7C" w:rsidRDefault="00B66887" w:rsidP="00B66887">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06AF4D16" w:rsidR="00B66887" w:rsidRPr="00CF2E7C" w:rsidRDefault="00C46F8B" w:rsidP="00B66887">
            <w:pPr>
              <w:rPr>
                <w:rFonts w:ascii="Calibri" w:hAnsi="Calibri" w:cs="Calibri"/>
              </w:rPr>
            </w:pPr>
            <w:r>
              <w:rPr>
                <w:rFonts w:ascii="Calibri" w:hAnsi="Calibri" w:cs="Calibri"/>
              </w:rPr>
              <w:t>X</w:t>
            </w:r>
          </w:p>
        </w:tc>
      </w:tr>
      <w:tr w:rsidR="00B66887" w:rsidRPr="00CF2E7C" w14:paraId="6D56545A" w14:textId="77777777" w:rsidTr="00CF2E7C">
        <w:trPr>
          <w:trHeight w:val="20"/>
        </w:trPr>
        <w:tc>
          <w:tcPr>
            <w:tcW w:w="1065" w:type="dxa"/>
            <w:vAlign w:val="center"/>
          </w:tcPr>
          <w:p w14:paraId="4CDC71F1" w14:textId="7DB4EE57" w:rsidR="00B66887" w:rsidRPr="00CF2E7C" w:rsidRDefault="00B66887" w:rsidP="00B6688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B66887" w:rsidRPr="00CF2E7C" w:rsidRDefault="00B66887" w:rsidP="00B66887">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B66887" w:rsidRPr="00CF2E7C" w:rsidRDefault="00B66887" w:rsidP="00B66887">
            <w:pPr>
              <w:rPr>
                <w:rFonts w:ascii="Calibri" w:hAnsi="Calibri" w:cs="Calibri"/>
              </w:rPr>
            </w:pPr>
          </w:p>
        </w:tc>
      </w:tr>
      <w:tr w:rsidR="00B66887" w:rsidRPr="00CF2E7C" w14:paraId="4B1CF4B4" w14:textId="77777777" w:rsidTr="00CF2E7C">
        <w:trPr>
          <w:trHeight w:val="20"/>
        </w:trPr>
        <w:tc>
          <w:tcPr>
            <w:tcW w:w="1065" w:type="dxa"/>
            <w:vAlign w:val="center"/>
          </w:tcPr>
          <w:p w14:paraId="23EEFB35" w14:textId="7602BCDB" w:rsidR="00B66887" w:rsidRPr="00CF2E7C" w:rsidRDefault="00B66887" w:rsidP="00B66887">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B66887" w:rsidRPr="00CF2E7C" w:rsidRDefault="00B66887" w:rsidP="00B66887">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B66887" w:rsidRPr="00CF2E7C" w:rsidRDefault="00B66887" w:rsidP="00B66887">
            <w:pPr>
              <w:rPr>
                <w:rFonts w:ascii="Calibri" w:hAnsi="Calibri" w:cs="Calibri"/>
              </w:rPr>
            </w:pPr>
          </w:p>
        </w:tc>
      </w:tr>
      <w:tr w:rsidR="00B66887" w:rsidRPr="00CF2E7C" w14:paraId="4A3EC98E" w14:textId="77777777" w:rsidTr="00CF2E7C">
        <w:trPr>
          <w:trHeight w:val="20"/>
        </w:trPr>
        <w:tc>
          <w:tcPr>
            <w:tcW w:w="1065" w:type="dxa"/>
            <w:vAlign w:val="center"/>
          </w:tcPr>
          <w:p w14:paraId="30E48C49" w14:textId="588BEE11" w:rsidR="00B66887" w:rsidRPr="00CF2E7C" w:rsidRDefault="00B66887" w:rsidP="00B6688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B66887" w:rsidRPr="00CF2E7C" w:rsidRDefault="00B66887" w:rsidP="00B66887">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B66887" w:rsidRPr="00CF2E7C" w:rsidRDefault="00B66887" w:rsidP="00B66887">
            <w:pPr>
              <w:rPr>
                <w:rFonts w:ascii="Calibri" w:hAnsi="Calibri" w:cs="Calibri"/>
              </w:rPr>
            </w:pPr>
          </w:p>
        </w:tc>
      </w:tr>
      <w:tr w:rsidR="00B66887" w:rsidRPr="00CF2E7C" w14:paraId="3F840613" w14:textId="77777777" w:rsidTr="00CF2E7C">
        <w:trPr>
          <w:trHeight w:val="20"/>
        </w:trPr>
        <w:tc>
          <w:tcPr>
            <w:tcW w:w="1065" w:type="dxa"/>
            <w:vAlign w:val="center"/>
          </w:tcPr>
          <w:p w14:paraId="65C71B55" w14:textId="23350817" w:rsidR="00B66887" w:rsidRPr="00CF2E7C" w:rsidRDefault="00B66887" w:rsidP="00B6688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B66887" w:rsidRPr="00CF2E7C" w:rsidRDefault="00B66887" w:rsidP="00B66887">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B66887" w:rsidRPr="00CF2E7C" w:rsidRDefault="00B66887" w:rsidP="00B66887">
            <w:pPr>
              <w:rPr>
                <w:rFonts w:ascii="Calibri" w:hAnsi="Calibri" w:cs="Calibri"/>
              </w:rPr>
            </w:pPr>
          </w:p>
        </w:tc>
      </w:tr>
      <w:tr w:rsidR="00B66887" w:rsidRPr="00CF2E7C" w14:paraId="2189999D" w14:textId="77777777" w:rsidTr="00CF2E7C">
        <w:trPr>
          <w:trHeight w:val="20"/>
        </w:trPr>
        <w:tc>
          <w:tcPr>
            <w:tcW w:w="1065" w:type="dxa"/>
            <w:vAlign w:val="center"/>
          </w:tcPr>
          <w:p w14:paraId="46E9E5C3" w14:textId="2D655D73" w:rsidR="00B66887" w:rsidRPr="00CF2E7C" w:rsidRDefault="00B66887" w:rsidP="00B66887">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B66887" w:rsidRPr="00CF2E7C" w:rsidRDefault="00B66887" w:rsidP="00B6688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B66887" w:rsidRPr="00CF2E7C" w:rsidRDefault="00B66887" w:rsidP="00B66887">
            <w:pPr>
              <w:rPr>
                <w:rFonts w:ascii="Calibri" w:hAnsi="Calibri" w:cs="Calibri"/>
              </w:rPr>
            </w:pPr>
          </w:p>
        </w:tc>
      </w:tr>
      <w:tr w:rsidR="00B66887" w:rsidRPr="00CF2E7C" w14:paraId="61FC5F72" w14:textId="77777777" w:rsidTr="00CF2E7C">
        <w:trPr>
          <w:trHeight w:val="20"/>
        </w:trPr>
        <w:tc>
          <w:tcPr>
            <w:tcW w:w="1065" w:type="dxa"/>
            <w:vAlign w:val="center"/>
          </w:tcPr>
          <w:p w14:paraId="36D6EF95" w14:textId="13C4ECB5" w:rsidR="00B66887" w:rsidRPr="00CF2E7C" w:rsidRDefault="00B66887" w:rsidP="00B6688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B66887" w:rsidRPr="00CF2E7C" w:rsidRDefault="00B66887" w:rsidP="00B66887">
            <w:pPr>
              <w:rPr>
                <w:rFonts w:ascii="Calibri" w:hAnsi="Calibri" w:cs="Calibri"/>
              </w:rPr>
            </w:pPr>
            <w:r w:rsidRPr="00CF2E7C">
              <w:rPr>
                <w:rFonts w:ascii="Calibri" w:hAnsi="Calibri" w:cs="Calibri"/>
              </w:rPr>
              <w:t>Other</w:t>
            </w:r>
          </w:p>
        </w:tc>
        <w:tc>
          <w:tcPr>
            <w:tcW w:w="4204" w:type="dxa"/>
            <w:gridSpan w:val="3"/>
            <w:vAlign w:val="center"/>
          </w:tcPr>
          <w:p w14:paraId="6B0CB804" w14:textId="0E2CF2A0" w:rsidR="00B66887" w:rsidRPr="00CF2E7C" w:rsidRDefault="00C46F8B" w:rsidP="00B66887">
            <w:pPr>
              <w:rPr>
                <w:rFonts w:ascii="Calibri" w:hAnsi="Calibri" w:cs="Calibri"/>
              </w:rPr>
            </w:pPr>
            <w:r>
              <w:rPr>
                <w:rFonts w:ascii="Calibri" w:hAnsi="Calibri" w:cs="Calibri"/>
              </w:rPr>
              <w:t>X</w:t>
            </w:r>
          </w:p>
        </w:tc>
      </w:tr>
      <w:tr w:rsidR="00B66887" w:rsidRPr="00CF2E7C" w14:paraId="58AC370D" w14:textId="77777777" w:rsidTr="00CF2E7C">
        <w:trPr>
          <w:trHeight w:val="20"/>
        </w:trPr>
        <w:tc>
          <w:tcPr>
            <w:tcW w:w="1065" w:type="dxa"/>
            <w:vAlign w:val="center"/>
          </w:tcPr>
          <w:p w14:paraId="4DBB78EC" w14:textId="37D6A024" w:rsidR="00B66887" w:rsidRPr="00CF2E7C" w:rsidRDefault="00B66887" w:rsidP="00B6688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B66887" w:rsidRPr="00CF2E7C" w:rsidRDefault="00B66887" w:rsidP="00B6688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C46F8B" w:rsidRPr="00CF2E7C" w14:paraId="4964159F" w14:textId="77777777" w:rsidTr="00CF2E7C">
        <w:trPr>
          <w:trHeight w:val="1020"/>
        </w:trPr>
        <w:tc>
          <w:tcPr>
            <w:tcW w:w="1065" w:type="dxa"/>
            <w:vAlign w:val="center"/>
          </w:tcPr>
          <w:p w14:paraId="7A071536" w14:textId="77777777" w:rsidR="00C46F8B" w:rsidRPr="00CF2E7C" w:rsidRDefault="00C46F8B" w:rsidP="00C46F8B">
            <w:pPr>
              <w:rPr>
                <w:rFonts w:ascii="Calibri" w:hAnsi="Calibri" w:cs="Calibri"/>
              </w:rPr>
            </w:pPr>
          </w:p>
        </w:tc>
        <w:tc>
          <w:tcPr>
            <w:tcW w:w="9375" w:type="dxa"/>
            <w:gridSpan w:val="7"/>
            <w:vAlign w:val="center"/>
          </w:tcPr>
          <w:p w14:paraId="7CC5C002" w14:textId="0027BE9F" w:rsidR="00C46F8B" w:rsidRPr="00CF2E7C" w:rsidRDefault="00C46F8B" w:rsidP="00C46F8B">
            <w:pPr>
              <w:rPr>
                <w:rFonts w:ascii="Calibri" w:hAnsi="Calibri" w:cs="Calibri"/>
              </w:rPr>
            </w:pPr>
            <w:r w:rsidRPr="001535BA">
              <w:rPr>
                <w:rFonts w:ascii="Calibri" w:hAnsi="Calibri" w:cs="Calibri"/>
              </w:rPr>
              <w:t>Section IV of the Law establishes the types of sanctions that can be applied cumulatively or in isolation</w:t>
            </w:r>
            <w:r>
              <w:rPr>
                <w:rFonts w:ascii="Calibri" w:hAnsi="Calibri" w:cs="Calibri"/>
              </w:rPr>
              <w:t xml:space="preserve"> in case of non-compliance: warnings, fines, partial or total suspension of activities, embargoes, suspension or cancellation of licenses, prohibition from contracting with the public administration for 3 years, loss or restriction of tax incentives and benefits, loss or suspension of participation in financing lines from official credits establishments. </w:t>
            </w:r>
          </w:p>
        </w:tc>
      </w:tr>
      <w:tr w:rsidR="00C46F8B" w:rsidRPr="00CF2E7C" w14:paraId="26A70B46" w14:textId="77777777" w:rsidTr="00CF2E7C">
        <w:trPr>
          <w:trHeight w:val="1430"/>
        </w:trPr>
        <w:tc>
          <w:tcPr>
            <w:tcW w:w="1065" w:type="dxa"/>
            <w:vAlign w:val="center"/>
          </w:tcPr>
          <w:p w14:paraId="29E68B22" w14:textId="30634CF3" w:rsidR="00C46F8B" w:rsidRPr="00CF2E7C" w:rsidRDefault="00C46F8B" w:rsidP="00C46F8B">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C46F8B" w:rsidRPr="00CF2E7C" w:rsidRDefault="00C46F8B" w:rsidP="00C46F8B">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C46F8B" w:rsidRPr="00CF2E7C" w:rsidRDefault="00C46F8B" w:rsidP="00C46F8B">
            <w:pPr>
              <w:rPr>
                <w:rFonts w:ascii="Calibri" w:hAnsi="Calibri" w:cs="Calibri"/>
              </w:rPr>
            </w:pPr>
          </w:p>
          <w:p w14:paraId="2F7B4231" w14:textId="77777777" w:rsidR="00C46F8B" w:rsidRPr="00CF2E7C" w:rsidRDefault="00C46F8B" w:rsidP="00C46F8B">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C46F8B" w:rsidRPr="00CF2E7C" w14:paraId="68755C0D" w14:textId="77777777" w:rsidTr="00CF2E7C">
        <w:trPr>
          <w:trHeight w:val="440"/>
        </w:trPr>
        <w:tc>
          <w:tcPr>
            <w:tcW w:w="1065" w:type="dxa"/>
            <w:vAlign w:val="center"/>
          </w:tcPr>
          <w:p w14:paraId="71683C1E" w14:textId="69DAFA03" w:rsidR="00C46F8B" w:rsidRPr="00CF2E7C" w:rsidRDefault="00C46F8B" w:rsidP="00C46F8B">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C46F8B" w:rsidRPr="00CF2E7C" w:rsidRDefault="00C46F8B" w:rsidP="00C46F8B">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C46F8B" w:rsidRPr="00CF2E7C" w:rsidRDefault="00C46F8B" w:rsidP="00C46F8B">
            <w:pPr>
              <w:rPr>
                <w:rFonts w:ascii="Calibri" w:hAnsi="Calibri" w:cs="Calibri"/>
              </w:rPr>
            </w:pPr>
          </w:p>
        </w:tc>
      </w:tr>
      <w:tr w:rsidR="00C46F8B" w:rsidRPr="00CF2E7C" w14:paraId="7DABD09F" w14:textId="77777777" w:rsidTr="00CF2E7C">
        <w:trPr>
          <w:trHeight w:val="440"/>
        </w:trPr>
        <w:tc>
          <w:tcPr>
            <w:tcW w:w="1065" w:type="dxa"/>
            <w:vAlign w:val="center"/>
          </w:tcPr>
          <w:p w14:paraId="79594E23" w14:textId="6047C759" w:rsidR="00C46F8B" w:rsidRPr="00CF2E7C" w:rsidRDefault="00C46F8B" w:rsidP="00C46F8B">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C46F8B" w:rsidRPr="00CF2E7C" w:rsidRDefault="00C46F8B" w:rsidP="00C46F8B">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C46F8B" w:rsidRPr="00CF2E7C" w:rsidRDefault="00C46F8B" w:rsidP="00C46F8B">
            <w:pPr>
              <w:rPr>
                <w:rFonts w:ascii="Calibri" w:hAnsi="Calibri" w:cs="Calibri"/>
              </w:rPr>
            </w:pPr>
          </w:p>
        </w:tc>
      </w:tr>
      <w:tr w:rsidR="00C46F8B" w:rsidRPr="00CF2E7C" w14:paraId="2E3A797A" w14:textId="77777777" w:rsidTr="00CF2E7C">
        <w:trPr>
          <w:trHeight w:val="1047"/>
        </w:trPr>
        <w:tc>
          <w:tcPr>
            <w:tcW w:w="1065" w:type="dxa"/>
            <w:vAlign w:val="center"/>
          </w:tcPr>
          <w:p w14:paraId="436F6A2F" w14:textId="49E066DB" w:rsidR="00C46F8B" w:rsidRPr="00CF2E7C" w:rsidRDefault="00C46F8B" w:rsidP="00C46F8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C46F8B" w:rsidRPr="00CF2E7C" w:rsidRDefault="00C46F8B" w:rsidP="00C46F8B">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C46F8B" w:rsidRPr="00CF2E7C" w14:paraId="483044A5" w14:textId="77777777" w:rsidTr="00CF2E7C">
        <w:trPr>
          <w:trHeight w:val="1047"/>
        </w:trPr>
        <w:tc>
          <w:tcPr>
            <w:tcW w:w="1065" w:type="dxa"/>
            <w:vAlign w:val="center"/>
          </w:tcPr>
          <w:p w14:paraId="1452FC0A" w14:textId="77777777" w:rsidR="00C46F8B" w:rsidRPr="00CF2E7C" w:rsidRDefault="00C46F8B" w:rsidP="00C46F8B">
            <w:pPr>
              <w:rPr>
                <w:rFonts w:ascii="Calibri" w:hAnsi="Calibri" w:cs="Calibri"/>
              </w:rPr>
            </w:pPr>
          </w:p>
        </w:tc>
        <w:tc>
          <w:tcPr>
            <w:tcW w:w="9375" w:type="dxa"/>
            <w:gridSpan w:val="7"/>
            <w:vAlign w:val="center"/>
          </w:tcPr>
          <w:p w14:paraId="4E9BC062" w14:textId="77777777" w:rsidR="00C46F8B" w:rsidRPr="00CF2E7C" w:rsidRDefault="00C46F8B" w:rsidP="00C46F8B">
            <w:pPr>
              <w:rPr>
                <w:rFonts w:ascii="Calibri" w:hAnsi="Calibri" w:cs="Calibri"/>
              </w:rPr>
            </w:pPr>
          </w:p>
        </w:tc>
      </w:tr>
      <w:tr w:rsidR="00C46F8B" w:rsidRPr="00CF2E7C" w14:paraId="18829E80" w14:textId="77777777" w:rsidTr="00CF2E7C">
        <w:trPr>
          <w:trHeight w:val="1475"/>
        </w:trPr>
        <w:tc>
          <w:tcPr>
            <w:tcW w:w="1065" w:type="dxa"/>
            <w:vAlign w:val="center"/>
          </w:tcPr>
          <w:p w14:paraId="7EC64DFF" w14:textId="57AACE72" w:rsidR="00C46F8B" w:rsidRPr="00CF2E7C" w:rsidRDefault="00C46F8B" w:rsidP="00C46F8B">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C46F8B" w:rsidRPr="00CF2E7C" w:rsidRDefault="00C46F8B" w:rsidP="00C46F8B">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C46F8B" w:rsidRPr="00CF2E7C" w:rsidRDefault="00C46F8B" w:rsidP="00C46F8B">
            <w:pPr>
              <w:rPr>
                <w:rFonts w:ascii="Calibri" w:hAnsi="Calibri" w:cs="Calibri"/>
              </w:rPr>
            </w:pPr>
          </w:p>
          <w:p w14:paraId="53B9C335" w14:textId="77777777" w:rsidR="00C46F8B" w:rsidRPr="00CF2E7C" w:rsidRDefault="00C46F8B" w:rsidP="00C46F8B">
            <w:pPr>
              <w:rPr>
                <w:rFonts w:ascii="Calibri" w:hAnsi="Calibri" w:cs="Calibri"/>
              </w:rPr>
            </w:pPr>
            <w:r w:rsidRPr="00CF2E7C">
              <w:rPr>
                <w:rFonts w:ascii="Calibri" w:hAnsi="Calibri" w:cs="Calibri"/>
              </w:rPr>
              <w:t>For example, is there any evidence of regulatory disputes, sanctions, penalties for non-compliance, etc?</w:t>
            </w:r>
          </w:p>
        </w:tc>
      </w:tr>
      <w:tr w:rsidR="00C46F8B" w:rsidRPr="00CF2E7C" w14:paraId="0309EA95" w14:textId="77777777" w:rsidTr="00CF2E7C">
        <w:trPr>
          <w:trHeight w:val="440"/>
        </w:trPr>
        <w:tc>
          <w:tcPr>
            <w:tcW w:w="1065" w:type="dxa"/>
            <w:vAlign w:val="center"/>
          </w:tcPr>
          <w:p w14:paraId="66074A99" w14:textId="3D7DBF0A" w:rsidR="00C46F8B" w:rsidRPr="00CF2E7C" w:rsidRDefault="00C46F8B" w:rsidP="00C46F8B">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C46F8B" w:rsidRPr="00CF2E7C" w:rsidRDefault="00C46F8B" w:rsidP="00C46F8B">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333965DF" w:rsidR="00C46F8B" w:rsidRPr="00CF2E7C" w:rsidRDefault="00C46F8B" w:rsidP="00C46F8B">
            <w:pPr>
              <w:rPr>
                <w:rFonts w:ascii="Calibri" w:hAnsi="Calibri" w:cs="Calibri"/>
              </w:rPr>
            </w:pPr>
            <w:r>
              <w:rPr>
                <w:rFonts w:ascii="Calibri" w:hAnsi="Calibri" w:cs="Calibri"/>
              </w:rPr>
              <w:t>X</w:t>
            </w:r>
          </w:p>
        </w:tc>
      </w:tr>
      <w:tr w:rsidR="00C46F8B" w:rsidRPr="00CF2E7C" w14:paraId="48A2A7B9" w14:textId="77777777" w:rsidTr="00CF2E7C">
        <w:trPr>
          <w:trHeight w:val="440"/>
        </w:trPr>
        <w:tc>
          <w:tcPr>
            <w:tcW w:w="1065" w:type="dxa"/>
            <w:vAlign w:val="center"/>
          </w:tcPr>
          <w:p w14:paraId="2E7919CA" w14:textId="4C96D662" w:rsidR="00C46F8B" w:rsidRPr="00CF2E7C" w:rsidRDefault="00C46F8B" w:rsidP="00C46F8B">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C46F8B" w:rsidRPr="00CF2E7C" w:rsidRDefault="00C46F8B" w:rsidP="00C46F8B">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C46F8B" w:rsidRPr="00CF2E7C" w:rsidRDefault="00C46F8B" w:rsidP="00C46F8B">
            <w:pPr>
              <w:rPr>
                <w:rFonts w:ascii="Calibri" w:hAnsi="Calibri" w:cs="Calibri"/>
              </w:rPr>
            </w:pPr>
          </w:p>
        </w:tc>
      </w:tr>
      <w:tr w:rsidR="00C46F8B" w:rsidRPr="00CF2E7C" w14:paraId="49A4B9EB" w14:textId="77777777" w:rsidTr="00CF2E7C">
        <w:trPr>
          <w:trHeight w:val="1160"/>
        </w:trPr>
        <w:tc>
          <w:tcPr>
            <w:tcW w:w="1065" w:type="dxa"/>
            <w:vAlign w:val="center"/>
          </w:tcPr>
          <w:p w14:paraId="23093774" w14:textId="6F3900A8" w:rsidR="00C46F8B" w:rsidRPr="00CF2E7C" w:rsidRDefault="00C46F8B" w:rsidP="00C46F8B">
            <w:pPr>
              <w:rPr>
                <w:rFonts w:ascii="Calibri" w:hAnsi="Calibri" w:cs="Calibri"/>
                <w:b/>
                <w:bCs/>
              </w:rPr>
            </w:pPr>
            <w:r w:rsidRPr="00CF2E7C">
              <w:rPr>
                <w:rFonts w:ascii="Calibri" w:hAnsi="Calibri" w:cs="Calibri"/>
                <w:b/>
                <w:bCs/>
              </w:rPr>
              <w:lastRenderedPageBreak/>
              <w:t>4.13</w:t>
            </w:r>
          </w:p>
        </w:tc>
        <w:tc>
          <w:tcPr>
            <w:tcW w:w="9375" w:type="dxa"/>
            <w:gridSpan w:val="7"/>
            <w:shd w:val="clear" w:color="auto" w:fill="DEEAF6" w:themeFill="accent5" w:themeFillTint="33"/>
            <w:vAlign w:val="center"/>
          </w:tcPr>
          <w:p w14:paraId="33A12F6A" w14:textId="6240D103" w:rsidR="00C46F8B" w:rsidRPr="00CF2E7C" w:rsidRDefault="00C46F8B" w:rsidP="00C46F8B">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C46F8B" w:rsidRPr="00CF2E7C" w14:paraId="6B7C3658" w14:textId="77777777" w:rsidTr="00CF2E7C">
        <w:trPr>
          <w:trHeight w:val="1160"/>
        </w:trPr>
        <w:tc>
          <w:tcPr>
            <w:tcW w:w="1065" w:type="dxa"/>
            <w:vAlign w:val="center"/>
          </w:tcPr>
          <w:p w14:paraId="4F7D3FFE" w14:textId="77777777" w:rsidR="00C46F8B" w:rsidRPr="00CF2E7C" w:rsidRDefault="00C46F8B" w:rsidP="00C46F8B">
            <w:pPr>
              <w:rPr>
                <w:rFonts w:ascii="Calibri" w:hAnsi="Calibri" w:cs="Calibri"/>
              </w:rPr>
            </w:pPr>
          </w:p>
        </w:tc>
        <w:tc>
          <w:tcPr>
            <w:tcW w:w="9375" w:type="dxa"/>
            <w:gridSpan w:val="7"/>
            <w:vAlign w:val="center"/>
          </w:tcPr>
          <w:p w14:paraId="130CC207" w14:textId="322D3059" w:rsidR="00E97276" w:rsidRPr="00CF2E7C" w:rsidRDefault="00E97276" w:rsidP="00E97276">
            <w:pPr>
              <w:jc w:val="both"/>
              <w:rPr>
                <w:rFonts w:ascii="Calibri" w:hAnsi="Calibri" w:cs="Calibri"/>
              </w:rPr>
            </w:pPr>
            <w:r>
              <w:rPr>
                <w:rFonts w:ascii="Calibri" w:hAnsi="Calibri" w:cs="Calibri"/>
              </w:rPr>
              <w:t>T</w:t>
            </w:r>
            <w:r w:rsidRPr="009B2E5C">
              <w:rPr>
                <w:rFonts w:ascii="Calibri" w:hAnsi="Calibri" w:cs="Calibri"/>
              </w:rPr>
              <w:t>he system is in its first phase, which is dedicated to creating the detailed regulations that will govern how the market works.</w:t>
            </w:r>
            <w:r>
              <w:rPr>
                <w:rFonts w:ascii="Calibri" w:hAnsi="Calibri" w:cs="Calibri"/>
              </w:rPr>
              <w:t xml:space="preserve"> </w:t>
            </w:r>
            <w:r w:rsidRPr="009B2E5C">
              <w:rPr>
                <w:rFonts w:ascii="Calibri" w:hAnsi="Calibri" w:cs="Calibri"/>
              </w:rPr>
              <w:t>Several preparatory phases must be completed before any enforcement can occur. These include a phase for companies to set up their emissions reporting instruments and a two-year period where companies will only be required to monitor and report their emissions without any penalty for the volume emitted</w:t>
            </w:r>
            <w:r>
              <w:rPr>
                <w:rFonts w:ascii="Calibri" w:hAnsi="Calibri" w:cs="Calibri"/>
              </w:rPr>
              <w:t>.</w:t>
            </w:r>
          </w:p>
        </w:tc>
      </w:tr>
      <w:tr w:rsidR="00C46F8B" w:rsidRPr="00CF2E7C" w14:paraId="6974CBA1" w14:textId="77777777" w:rsidTr="00CF2E7C">
        <w:trPr>
          <w:trHeight w:val="1070"/>
        </w:trPr>
        <w:tc>
          <w:tcPr>
            <w:tcW w:w="1065" w:type="dxa"/>
            <w:vAlign w:val="center"/>
          </w:tcPr>
          <w:p w14:paraId="173DC9D4" w14:textId="475A397F" w:rsidR="00C46F8B" w:rsidRPr="00CF2E7C" w:rsidRDefault="00C46F8B" w:rsidP="00C46F8B">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C46F8B" w:rsidRPr="00CF2E7C" w:rsidRDefault="00C46F8B" w:rsidP="00C46F8B">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C46F8B" w:rsidRPr="00CF2E7C" w:rsidRDefault="00C46F8B" w:rsidP="00C46F8B">
            <w:pPr>
              <w:rPr>
                <w:rFonts w:ascii="Calibri" w:hAnsi="Calibri" w:cs="Calibri"/>
              </w:rPr>
            </w:pPr>
            <w:r w:rsidRPr="00CF2E7C">
              <w:rPr>
                <w:rFonts w:ascii="Calibri" w:hAnsi="Calibri" w:cs="Calibri"/>
              </w:rPr>
              <w:t xml:space="preserve">Select the appropriate response using an X.   </w:t>
            </w:r>
          </w:p>
        </w:tc>
      </w:tr>
      <w:tr w:rsidR="00C46F8B" w:rsidRPr="00CF2E7C" w14:paraId="3AEEA491" w14:textId="77777777" w:rsidTr="00CF2E7C">
        <w:trPr>
          <w:trHeight w:val="440"/>
        </w:trPr>
        <w:tc>
          <w:tcPr>
            <w:tcW w:w="1065" w:type="dxa"/>
            <w:vAlign w:val="center"/>
          </w:tcPr>
          <w:p w14:paraId="40B4E097" w14:textId="41E066F0" w:rsidR="00C46F8B" w:rsidRPr="00CF2E7C" w:rsidRDefault="00C46F8B" w:rsidP="00C46F8B">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C46F8B" w:rsidRPr="00CF2E7C" w:rsidRDefault="00C46F8B" w:rsidP="00C46F8B">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C46F8B" w:rsidRPr="00CF2E7C" w:rsidRDefault="00C46F8B" w:rsidP="00C46F8B">
            <w:pPr>
              <w:rPr>
                <w:rFonts w:ascii="Calibri" w:hAnsi="Calibri" w:cs="Calibri"/>
              </w:rPr>
            </w:pPr>
          </w:p>
        </w:tc>
      </w:tr>
      <w:tr w:rsidR="00C46F8B" w:rsidRPr="00CF2E7C" w14:paraId="36ADF83E" w14:textId="77777777" w:rsidTr="00CF2E7C">
        <w:trPr>
          <w:trHeight w:val="350"/>
        </w:trPr>
        <w:tc>
          <w:tcPr>
            <w:tcW w:w="1065" w:type="dxa"/>
            <w:vAlign w:val="center"/>
          </w:tcPr>
          <w:p w14:paraId="702C1D7F" w14:textId="36203503" w:rsidR="00C46F8B" w:rsidRPr="00CF2E7C" w:rsidRDefault="00C46F8B" w:rsidP="00C46F8B">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C46F8B" w:rsidRPr="00CF2E7C" w:rsidRDefault="00C46F8B" w:rsidP="00C46F8B">
            <w:pPr>
              <w:rPr>
                <w:rFonts w:ascii="Calibri" w:hAnsi="Calibri" w:cs="Calibri"/>
              </w:rPr>
            </w:pPr>
            <w:r w:rsidRPr="00CF2E7C">
              <w:rPr>
                <w:rFonts w:ascii="Calibri" w:hAnsi="Calibri" w:cs="Calibri"/>
              </w:rPr>
              <w:t>Yes</w:t>
            </w:r>
          </w:p>
        </w:tc>
        <w:tc>
          <w:tcPr>
            <w:tcW w:w="4591" w:type="dxa"/>
            <w:gridSpan w:val="4"/>
            <w:vAlign w:val="center"/>
          </w:tcPr>
          <w:p w14:paraId="7E7702A9" w14:textId="0AA4A665" w:rsidR="00C46F8B" w:rsidRPr="00CF2E7C" w:rsidRDefault="00E97276" w:rsidP="00C46F8B">
            <w:pPr>
              <w:rPr>
                <w:rFonts w:ascii="Calibri" w:hAnsi="Calibri" w:cs="Calibri"/>
              </w:rPr>
            </w:pPr>
            <w:r>
              <w:rPr>
                <w:rFonts w:ascii="Calibri" w:hAnsi="Calibri" w:cs="Calibri"/>
              </w:rPr>
              <w:t>X</w:t>
            </w:r>
          </w:p>
        </w:tc>
      </w:tr>
      <w:tr w:rsidR="00C46F8B" w:rsidRPr="00CF2E7C" w14:paraId="73E59194" w14:textId="77777777" w:rsidTr="00CF2E7C">
        <w:trPr>
          <w:trHeight w:val="766"/>
        </w:trPr>
        <w:tc>
          <w:tcPr>
            <w:tcW w:w="1065" w:type="dxa"/>
            <w:vAlign w:val="center"/>
          </w:tcPr>
          <w:p w14:paraId="4B193D43" w14:textId="67FB2018" w:rsidR="00C46F8B" w:rsidRPr="00CF2E7C" w:rsidRDefault="00C46F8B" w:rsidP="00C46F8B">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C46F8B" w:rsidRPr="00CF2E7C" w:rsidRDefault="00C46F8B" w:rsidP="00C46F8B">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C46F8B" w:rsidRPr="00CF2E7C" w14:paraId="750E45FA" w14:textId="77777777" w:rsidTr="00CF2E7C">
        <w:trPr>
          <w:trHeight w:val="1020"/>
        </w:trPr>
        <w:tc>
          <w:tcPr>
            <w:tcW w:w="1065" w:type="dxa"/>
            <w:vAlign w:val="center"/>
          </w:tcPr>
          <w:p w14:paraId="490ED3D9" w14:textId="77777777" w:rsidR="00C46F8B" w:rsidRPr="00CF2E7C" w:rsidRDefault="00C46F8B" w:rsidP="00C46F8B">
            <w:pPr>
              <w:rPr>
                <w:rFonts w:ascii="Calibri" w:hAnsi="Calibri" w:cs="Calibri"/>
              </w:rPr>
            </w:pPr>
          </w:p>
        </w:tc>
        <w:tc>
          <w:tcPr>
            <w:tcW w:w="9375" w:type="dxa"/>
            <w:gridSpan w:val="7"/>
            <w:vAlign w:val="center"/>
          </w:tcPr>
          <w:p w14:paraId="58E21A0D" w14:textId="3D2C4BD0" w:rsidR="00C46F8B" w:rsidRPr="00DE0326" w:rsidRDefault="00DE0326" w:rsidP="00DE0326">
            <w:pPr>
              <w:jc w:val="both"/>
              <w:rPr>
                <w:rFonts w:ascii="Calibri" w:hAnsi="Calibri" w:cs="Calibri"/>
                <w:lang w:val="pt-BR"/>
              </w:rPr>
            </w:pPr>
            <w:r w:rsidRPr="00153F69">
              <w:rPr>
                <w:rFonts w:ascii="Calibri" w:hAnsi="Calibri" w:cs="Calibri"/>
              </w:rPr>
              <w:t xml:space="preserve">The law is currently the subject of a direct constitutional challenge in Brazil's highest court. In March 2025, the National Confederation of General Insurance, Private Pension, and Supplementary Health Companies filed a Direct Action of Unconstitutionality (ADI 7795) with the Federal Supreme Court, specifically challenging Article 56 of the law. </w:t>
            </w:r>
            <w:r w:rsidRPr="00153F69">
              <w:rPr>
                <w:rFonts w:ascii="Calibri" w:hAnsi="Calibri" w:cs="Calibri"/>
                <w:lang w:val="pt-BR"/>
              </w:rPr>
              <w:t xml:space="preserve">The case </w:t>
            </w:r>
            <w:proofErr w:type="spellStart"/>
            <w:r w:rsidRPr="00153F69">
              <w:rPr>
                <w:rFonts w:ascii="Calibri" w:hAnsi="Calibri" w:cs="Calibri"/>
                <w:lang w:val="pt-BR"/>
              </w:rPr>
              <w:t>is</w:t>
            </w:r>
            <w:proofErr w:type="spellEnd"/>
            <w:r w:rsidRPr="00153F69">
              <w:rPr>
                <w:rFonts w:ascii="Calibri" w:hAnsi="Calibri" w:cs="Calibri"/>
                <w:lang w:val="pt-BR"/>
              </w:rPr>
              <w:t xml:space="preserve"> </w:t>
            </w:r>
            <w:proofErr w:type="spellStart"/>
            <w:r w:rsidRPr="00153F69">
              <w:rPr>
                <w:rFonts w:ascii="Calibri" w:hAnsi="Calibri" w:cs="Calibri"/>
                <w:lang w:val="pt-BR"/>
              </w:rPr>
              <w:t>currently</w:t>
            </w:r>
            <w:proofErr w:type="spellEnd"/>
            <w:r w:rsidRPr="00153F69">
              <w:rPr>
                <w:rFonts w:ascii="Calibri" w:hAnsi="Calibri" w:cs="Calibri"/>
                <w:lang w:val="pt-BR"/>
              </w:rPr>
              <w:t xml:space="preserve"> </w:t>
            </w:r>
            <w:proofErr w:type="spellStart"/>
            <w:r w:rsidRPr="00153F69">
              <w:rPr>
                <w:rFonts w:ascii="Calibri" w:hAnsi="Calibri" w:cs="Calibri"/>
                <w:lang w:val="pt-BR"/>
              </w:rPr>
              <w:t>pending</w:t>
            </w:r>
            <w:proofErr w:type="spellEnd"/>
            <w:r w:rsidRPr="00153F69">
              <w:rPr>
                <w:rFonts w:ascii="Calibri" w:hAnsi="Calibri" w:cs="Calibri"/>
                <w:lang w:val="pt-BR"/>
              </w:rPr>
              <w:t xml:space="preserve"> </w:t>
            </w:r>
            <w:proofErr w:type="spellStart"/>
            <w:r w:rsidRPr="00153F69">
              <w:rPr>
                <w:rFonts w:ascii="Calibri" w:hAnsi="Calibri" w:cs="Calibri"/>
                <w:lang w:val="pt-BR"/>
              </w:rPr>
              <w:t>before</w:t>
            </w:r>
            <w:proofErr w:type="spellEnd"/>
            <w:r w:rsidRPr="00153F69">
              <w:rPr>
                <w:rFonts w:ascii="Calibri" w:hAnsi="Calibri" w:cs="Calibri"/>
                <w:lang w:val="pt-BR"/>
              </w:rPr>
              <w:t xml:space="preserve"> </w:t>
            </w:r>
            <w:proofErr w:type="spellStart"/>
            <w:r w:rsidRPr="00153F69">
              <w:rPr>
                <w:rFonts w:ascii="Calibri" w:hAnsi="Calibri" w:cs="Calibri"/>
                <w:lang w:val="pt-BR"/>
              </w:rPr>
              <w:t>the</w:t>
            </w:r>
            <w:proofErr w:type="spellEnd"/>
            <w:r w:rsidRPr="00153F69">
              <w:rPr>
                <w:rFonts w:ascii="Calibri" w:hAnsi="Calibri" w:cs="Calibri"/>
                <w:lang w:val="pt-BR"/>
              </w:rPr>
              <w:t xml:space="preserve"> </w:t>
            </w:r>
            <w:proofErr w:type="spellStart"/>
            <w:r w:rsidRPr="00153F69">
              <w:rPr>
                <w:rFonts w:ascii="Calibri" w:hAnsi="Calibri" w:cs="Calibri"/>
                <w:lang w:val="pt-BR"/>
              </w:rPr>
              <w:t>Supreme</w:t>
            </w:r>
            <w:proofErr w:type="spellEnd"/>
            <w:r w:rsidRPr="00153F69">
              <w:rPr>
                <w:rFonts w:ascii="Calibri" w:hAnsi="Calibri" w:cs="Calibri"/>
                <w:lang w:val="pt-BR"/>
              </w:rPr>
              <w:t xml:space="preserve"> </w:t>
            </w:r>
            <w:proofErr w:type="spellStart"/>
            <w:r w:rsidRPr="00153F69">
              <w:rPr>
                <w:rFonts w:ascii="Calibri" w:hAnsi="Calibri" w:cs="Calibri"/>
                <w:lang w:val="pt-BR"/>
              </w:rPr>
              <w:t>Court</w:t>
            </w:r>
            <w:proofErr w:type="spellEnd"/>
            <w:r w:rsidRPr="00153F69">
              <w:rPr>
                <w:rFonts w:ascii="Calibri" w:hAnsi="Calibri" w:cs="Calibri"/>
                <w:lang w:val="pt-BR"/>
              </w:rPr>
              <w:t>.</w:t>
            </w: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1154B798" w:rsidR="00D46B07" w:rsidRPr="00CF2E7C" w:rsidRDefault="004858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7A140A4C" w:rsidR="00D46B07" w:rsidRPr="00CF2E7C" w:rsidRDefault="004858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DDBFBC5" w:rsidR="00D46B07" w:rsidRPr="00CF2E7C" w:rsidRDefault="004858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0EEFA9D3" w:rsidR="00D46B07" w:rsidRPr="00CF2E7C" w:rsidRDefault="00D974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4C78BAB7" w:rsidR="00D46B07" w:rsidRPr="00CF2E7C" w:rsidRDefault="00D46B07" w:rsidP="0004463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8005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4E9FE1AF" w:rsidR="00D46B07" w:rsidRPr="00CF2E7C" w:rsidRDefault="00D46B07" w:rsidP="0004463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03FC8560" w:rsidR="00D46B07" w:rsidRPr="00CF2E7C" w:rsidRDefault="00180056" w:rsidP="0004463F">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D46B07"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66A1E34B" w:rsidR="00D46B07" w:rsidRPr="00CF2E7C" w:rsidRDefault="00D46B07" w:rsidP="0004463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2B36DEDF" w:rsidR="00D46B07" w:rsidRPr="00CF2E7C" w:rsidRDefault="00D46B07" w:rsidP="0004463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60B9E">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04463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0025AE8D" w:rsidR="00D46B07" w:rsidRPr="00CF2E7C" w:rsidRDefault="00180056" w:rsidP="0004463F">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6B99A396" w:rsidR="00D46B07" w:rsidRPr="00CF2E7C" w:rsidRDefault="00D46B07" w:rsidP="0004463F">
            <w:pPr>
              <w:jc w:val="cente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262DADC" w:rsidR="000334B6" w:rsidRPr="00CF2E7C" w:rsidRDefault="006232C8" w:rsidP="006232C8">
            <w:pPr>
              <w:jc w:val="both"/>
              <w:textAlignment w:val="baseline"/>
              <w:rPr>
                <w:rFonts w:ascii="Calibri" w:eastAsia="Times New Roman" w:hAnsi="Calibri" w:cs="Calibri"/>
                <w:kern w:val="0"/>
                <w:lang w:eastAsia="en-GB"/>
                <w14:ligatures w14:val="none"/>
              </w:rPr>
            </w:pPr>
            <w:r w:rsidRPr="006232C8">
              <w:rPr>
                <w:rFonts w:ascii="Calibri" w:eastAsia="Times New Roman" w:hAnsi="Calibri" w:cs="Calibri"/>
                <w:kern w:val="0"/>
                <w:lang w:eastAsia="en-GB"/>
                <w14:ligatures w14:val="none"/>
              </w:rPr>
              <w:t>The law establishes a framework that allows for the integration of state-level (jurisdictional) programs with project-level activities. It reinforces the role of the National REDD+ Commission (CONAREDD+) in validating methodologies and safeguards, ensuring that large-scale, government-led conservation efforts can be a source of high-integrity credits for the market.</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2627636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04C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501E052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04CC">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2AB921C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04CC">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1B51C3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04CC">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2AC061C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04CC">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2864C77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2F78E72E" w:rsidR="00702413" w:rsidRPr="00CF2E7C" w:rsidRDefault="00702413" w:rsidP="0012217B">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70E47">
              <w:rPr>
                <w:rFonts w:ascii="Calibri" w:eastAsia="Times New Roman" w:hAnsi="Calibri" w:cs="Calibri"/>
                <w:kern w:val="0"/>
                <w:lang w:eastAsia="en-GB"/>
                <w14:ligatures w14:val="none"/>
              </w:rPr>
              <w:t>For carbon credits (i.e., those in the voluntary carbon market, external to the SBCE), the requirement established is for the issuance according to an established methodology (“</w:t>
            </w:r>
            <w:r w:rsidR="00870E47" w:rsidRPr="00870E47">
              <w:rPr>
                <w:rFonts w:ascii="Calibri" w:eastAsia="Times New Roman" w:hAnsi="Calibri" w:cs="Calibri"/>
                <w:i/>
                <w:iCs/>
                <w:kern w:val="0"/>
                <w:lang w:eastAsia="en-GB"/>
                <w14:ligatures w14:val="none"/>
              </w:rPr>
              <w:t>carbon credit: a tradable, autonomous asset, with the legal nature of civil property in the case of forest preservation or reforestation carbon credits—except those originating from jurisdictional programs, provided that all limitations imposed on such programs by this Law are respected—representing effective retention, reduction, or removal of emissions, under the terms of items XXX and XXXI of this heading, of 1 tCO2e (one ton of carbon dioxide equivalent), obtained from GHG retention, reduction or removal projects or programs carried out by public or private entities, subject to national or international methodologies that adopt criteria and rules for measuring, reporting and verifying emissions</w:t>
            </w:r>
            <w:r w:rsidR="00870E47">
              <w:rPr>
                <w:rFonts w:ascii="Calibri" w:eastAsia="Times New Roman" w:hAnsi="Calibri" w:cs="Calibri"/>
                <w:kern w:val="0"/>
                <w:lang w:eastAsia="en-GB"/>
                <w14:ligatures w14:val="none"/>
              </w:rPr>
              <w:t>”). For CRVEs, there is the obligation to register before the SBCE (</w:t>
            </w:r>
            <w:r w:rsidR="00DD0B7E">
              <w:rPr>
                <w:rFonts w:ascii="Calibri" w:eastAsia="Times New Roman" w:hAnsi="Calibri" w:cs="Calibri"/>
                <w:kern w:val="0"/>
                <w:lang w:eastAsia="en-GB"/>
                <w14:ligatures w14:val="none"/>
              </w:rPr>
              <w:t>“</w:t>
            </w:r>
            <w:r w:rsidR="00DD0B7E" w:rsidRPr="00DD0B7E">
              <w:rPr>
                <w:rFonts w:ascii="Calibri" w:eastAsia="Times New Roman" w:hAnsi="Calibri" w:cs="Calibri"/>
                <w:i/>
                <w:iCs/>
                <w:kern w:val="0"/>
                <w:lang w:eastAsia="en-GB"/>
                <w14:ligatures w14:val="none"/>
              </w:rPr>
              <w:t>Certificate of Verified Emission Reduction or Removal (CRVE): fungible, tradable asset representing the effective reduction or removal of GHG emissions of 1 tCO2e (one ton of carbon dioxide equivalent), following an accredited methodology and registered under the SBCE, in accordance with a specific act of the SBCE managing body</w:t>
            </w:r>
            <w:r w:rsidR="00DD0B7E">
              <w:rPr>
                <w:rFonts w:ascii="Calibri" w:eastAsia="Times New Roman" w:hAnsi="Calibri" w:cs="Calibri"/>
                <w:kern w:val="0"/>
                <w:lang w:eastAsia="en-GB"/>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4971D6A5" w:rsidR="00343937" w:rsidRPr="00CF2E7C" w:rsidRDefault="00C526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 </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364C2BF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3D2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 xml:space="preserve">carbon </w:t>
            </w:r>
            <w:r w:rsidRPr="00CF2E7C">
              <w:rPr>
                <w:rFonts w:ascii="Calibri" w:eastAsia="Times New Roman" w:hAnsi="Calibri" w:cs="Calibri"/>
                <w:b/>
                <w:color w:val="7030A0"/>
                <w:kern w:val="0"/>
                <w:lang w:eastAsia="en-GB"/>
                <w14:ligatures w14:val="none"/>
              </w:rPr>
              <w:lastRenderedPageBreak/>
              <w:t>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2340669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r w:rsidR="00F23D2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8ABCAD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3D2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190EE0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3D2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600923B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23D20">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10ED2035" w:rsidR="00343937" w:rsidRPr="00541383" w:rsidRDefault="00F72B01" w:rsidP="00F16A71">
            <w:pPr>
              <w:jc w:val="both"/>
              <w:textAlignment w:val="baseline"/>
              <w:rPr>
                <w:rFonts w:ascii="Calibri" w:eastAsia="Times New Roman" w:hAnsi="Calibri" w:cs="Calibri"/>
                <w:kern w:val="0"/>
                <w:lang w:val="en-US" w:eastAsia="en-GB"/>
                <w14:ligatures w14:val="none"/>
              </w:rPr>
            </w:pPr>
            <w:r w:rsidRPr="00F72B01">
              <w:rPr>
                <w:rFonts w:ascii="Calibri" w:eastAsia="Times New Roman" w:hAnsi="Calibri" w:cs="Calibri"/>
                <w:kern w:val="0"/>
                <w:lang w:val="en-US" w:eastAsia="en-GB"/>
                <w14:ligatures w14:val="none"/>
              </w:rPr>
              <w:t xml:space="preserve">The </w:t>
            </w:r>
            <w:r w:rsidR="00307B73">
              <w:rPr>
                <w:rFonts w:ascii="Calibri" w:eastAsia="Times New Roman" w:hAnsi="Calibri" w:cs="Calibri"/>
                <w:kern w:val="0"/>
                <w:lang w:val="en-US" w:eastAsia="en-GB"/>
                <w14:ligatures w14:val="none"/>
              </w:rPr>
              <w:t>above is applicable as indicated for the CRVEs. For them, i</w:t>
            </w:r>
            <w:r w:rsidRPr="00F72B01">
              <w:rPr>
                <w:rFonts w:ascii="Calibri" w:eastAsia="Times New Roman" w:hAnsi="Calibri" w:cs="Calibri"/>
                <w:kern w:val="0"/>
                <w:lang w:val="en-US" w:eastAsia="en-GB"/>
                <w14:ligatures w14:val="none"/>
              </w:rPr>
              <w:t xml:space="preserve">t requires transparent listing in </w:t>
            </w:r>
            <w:r w:rsidR="00307B73">
              <w:rPr>
                <w:rFonts w:ascii="Calibri" w:eastAsia="Times New Roman" w:hAnsi="Calibri" w:cs="Calibri"/>
                <w:kern w:val="0"/>
                <w:lang w:val="en-US" w:eastAsia="en-GB"/>
                <w14:ligatures w14:val="none"/>
              </w:rPr>
              <w:t>the</w:t>
            </w:r>
            <w:r w:rsidRPr="00F72B01">
              <w:rPr>
                <w:rFonts w:ascii="Calibri" w:eastAsia="Times New Roman" w:hAnsi="Calibri" w:cs="Calibri"/>
                <w:kern w:val="0"/>
                <w:lang w:val="en-US" w:eastAsia="en-GB"/>
                <w14:ligatures w14:val="none"/>
              </w:rPr>
              <w:t xml:space="preserve"> </w:t>
            </w:r>
            <w:r w:rsidR="00307B73">
              <w:rPr>
                <w:rFonts w:ascii="Calibri" w:eastAsia="Times New Roman" w:hAnsi="Calibri" w:cs="Calibri"/>
                <w:kern w:val="0"/>
                <w:lang w:val="en-US" w:eastAsia="en-GB"/>
                <w14:ligatures w14:val="none"/>
              </w:rPr>
              <w:t>Central R</w:t>
            </w:r>
            <w:r w:rsidRPr="00F72B01">
              <w:rPr>
                <w:rFonts w:ascii="Calibri" w:eastAsia="Times New Roman" w:hAnsi="Calibri" w:cs="Calibri"/>
                <w:kern w:val="0"/>
                <w:lang w:val="en-US" w:eastAsia="en-GB"/>
                <w14:ligatures w14:val="none"/>
              </w:rPr>
              <w:t>egistry</w:t>
            </w:r>
            <w:r w:rsidR="00307B73">
              <w:rPr>
                <w:rFonts w:ascii="Calibri" w:eastAsia="Times New Roman" w:hAnsi="Calibri" w:cs="Calibri"/>
                <w:kern w:val="0"/>
                <w:lang w:val="en-US" w:eastAsia="en-GB"/>
                <w14:ligatures w14:val="none"/>
              </w:rPr>
              <w:t xml:space="preserve"> and </w:t>
            </w:r>
            <w:proofErr w:type="gramStart"/>
            <w:r w:rsidR="00307B73">
              <w:rPr>
                <w:rFonts w:ascii="Calibri" w:eastAsia="Times New Roman" w:hAnsi="Calibri" w:cs="Calibri"/>
                <w:kern w:val="0"/>
                <w:lang w:val="en-US" w:eastAsia="en-GB"/>
                <w14:ligatures w14:val="none"/>
              </w:rPr>
              <w:t>mandates</w:t>
            </w:r>
            <w:proofErr w:type="gramEnd"/>
            <w:r w:rsidR="00307B73">
              <w:rPr>
                <w:rFonts w:ascii="Calibri" w:eastAsia="Times New Roman" w:hAnsi="Calibri" w:cs="Calibri"/>
                <w:kern w:val="0"/>
                <w:lang w:val="en-US" w:eastAsia="en-GB"/>
                <w14:ligatures w14:val="none"/>
              </w:rPr>
              <w:t xml:space="preserve"> </w:t>
            </w:r>
            <w:r w:rsidRPr="00F72B01">
              <w:rPr>
                <w:rFonts w:ascii="Calibri" w:eastAsia="Times New Roman" w:hAnsi="Calibri" w:cs="Calibri"/>
                <w:kern w:val="0"/>
                <w:lang w:val="en-US" w:eastAsia="en-GB"/>
                <w14:ligatures w14:val="none"/>
              </w:rPr>
              <w:t>corresponding adjustments are mandated. The Central Registry is the core mechanism</w:t>
            </w:r>
            <w:r w:rsidR="00307B73">
              <w:rPr>
                <w:rFonts w:ascii="Calibri" w:eastAsia="Times New Roman" w:hAnsi="Calibri" w:cs="Calibri"/>
                <w:kern w:val="0"/>
                <w:lang w:val="en-US" w:eastAsia="en-GB"/>
                <w14:ligatures w14:val="none"/>
              </w:rPr>
              <w:t xml:space="preserve"> for the future compliance market</w:t>
            </w:r>
            <w:r w:rsidRPr="00F72B01">
              <w:rPr>
                <w:rFonts w:ascii="Calibri" w:eastAsia="Times New Roman" w:hAnsi="Calibri" w:cs="Calibri"/>
                <w:kern w:val="0"/>
                <w:lang w:val="en-US" w:eastAsia="en-GB"/>
                <w14:ligatures w14:val="none"/>
              </w:rPr>
              <w:t xml:space="preserve">, ensuring unique identification and tracking of each credit from issuance to retirement. </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3F95DE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7B7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40946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09D91C4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41383">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691F2ED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41383">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6C55579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41383">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7FB3A2" w14:textId="77777777" w:rsidR="00343937" w:rsidRDefault="004424DB" w:rsidP="00B9367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0099269B" w:rsidRPr="0099269B">
              <w:rPr>
                <w:rFonts w:ascii="Calibri" w:eastAsia="Times New Roman" w:hAnsi="Calibri" w:cs="Calibri"/>
                <w:kern w:val="0"/>
                <w:lang w:val="en-US" w:eastAsia="en-GB"/>
                <w14:ligatures w14:val="none"/>
              </w:rPr>
              <w:t>he law is very strict and requires how revenues raised by the government from the auction of emission allowances (CBEs) must be used. According to Article 28 of the law, these public funds are required to be allocated as follows:</w:t>
            </w:r>
            <w:r w:rsidR="00B9367A" w:rsidRPr="00B9367A">
              <w:rPr>
                <w:rFonts w:ascii="Calibri" w:eastAsia="Times New Roman" w:hAnsi="Calibri" w:cs="Calibri"/>
                <w:kern w:val="0"/>
                <w:lang w:val="en-US" w:eastAsia="en-GB"/>
                <w14:ligatures w14:val="none"/>
              </w:rPr>
              <w:t xml:space="preserve"> (i) </w:t>
            </w:r>
            <w:r w:rsidR="00B9367A" w:rsidRPr="00B9367A">
              <w:rPr>
                <w:rFonts w:ascii="Calibri" w:eastAsia="Times New Roman" w:hAnsi="Calibri" w:cs="Calibri"/>
                <w:kern w:val="0"/>
                <w:lang w:eastAsia="en-GB"/>
                <w14:ligatures w14:val="none"/>
              </w:rPr>
              <w:t>Administration and maintenance and (ii) Benefit-sharing &amp; Other Objectives.</w:t>
            </w:r>
            <w:r w:rsidR="00B9367A">
              <w:rPr>
                <w:rFonts w:ascii="Calibri" w:eastAsia="Times New Roman" w:hAnsi="Calibri" w:cs="Calibri"/>
                <w:kern w:val="0"/>
                <w:lang w:eastAsia="en-GB"/>
                <w14:ligatures w14:val="none"/>
              </w:rPr>
              <w:t xml:space="preserve"> </w:t>
            </w:r>
          </w:p>
          <w:p w14:paraId="0B920FBB" w14:textId="4F404518" w:rsidR="007C0928" w:rsidRPr="007C0928" w:rsidRDefault="007C0928" w:rsidP="007C0928">
            <w:pPr>
              <w:jc w:val="both"/>
              <w:textAlignment w:val="baseline"/>
              <w:rPr>
                <w:rFonts w:ascii="Arial" w:eastAsia="Times New Roman" w:hAnsi="Arial" w:cs="Arial"/>
                <w:kern w:val="0"/>
                <w:sz w:val="22"/>
                <w:szCs w:val="22"/>
                <w:lang w:val="en-US" w:eastAsia="en-GB"/>
                <w14:ligatures w14:val="none"/>
              </w:rPr>
            </w:pPr>
            <w:r>
              <w:rPr>
                <w:rFonts w:ascii="Arial" w:eastAsia="Times New Roman" w:hAnsi="Arial" w:cs="Arial"/>
                <w:kern w:val="0"/>
                <w:sz w:val="22"/>
                <w:szCs w:val="22"/>
                <w:lang w:eastAsia="en-GB"/>
                <w14:ligatures w14:val="none"/>
              </w:rPr>
              <w:t>Further, A</w:t>
            </w:r>
            <w:proofErr w:type="spellStart"/>
            <w:r w:rsidRPr="007C0928">
              <w:rPr>
                <w:rFonts w:ascii="Arial" w:eastAsia="Times New Roman" w:hAnsi="Arial" w:cs="Arial"/>
                <w:kern w:val="0"/>
                <w:sz w:val="22"/>
                <w:szCs w:val="22"/>
                <w:lang w:val="en-US" w:eastAsia="en-GB"/>
                <w14:ligatures w14:val="none"/>
              </w:rPr>
              <w:t>rticle</w:t>
            </w:r>
            <w:proofErr w:type="spellEnd"/>
            <w:r w:rsidRPr="007C0928">
              <w:rPr>
                <w:rFonts w:ascii="Arial" w:eastAsia="Times New Roman" w:hAnsi="Arial" w:cs="Arial"/>
                <w:kern w:val="0"/>
                <w:sz w:val="22"/>
                <w:szCs w:val="22"/>
                <w:lang w:val="en-US" w:eastAsia="en-GB"/>
                <w14:ligatures w14:val="none"/>
              </w:rPr>
              <w:t> 47 lays out specific benefit-sharing percentages for Indigenous Peoples and traditional communities:</w:t>
            </w:r>
          </w:p>
          <w:p w14:paraId="7D722237" w14:textId="77777777" w:rsidR="007C0928" w:rsidRPr="007C0928" w:rsidRDefault="007C0928" w:rsidP="007C0928">
            <w:pPr>
              <w:numPr>
                <w:ilvl w:val="0"/>
                <w:numId w:val="50"/>
              </w:numPr>
              <w:jc w:val="both"/>
              <w:textAlignment w:val="baseline"/>
              <w:rPr>
                <w:rFonts w:ascii="Arial" w:eastAsia="Times New Roman" w:hAnsi="Arial" w:cs="Arial"/>
                <w:kern w:val="0"/>
                <w:sz w:val="22"/>
                <w:szCs w:val="22"/>
                <w:lang w:val="en-US" w:eastAsia="en-GB"/>
                <w14:ligatures w14:val="none"/>
              </w:rPr>
            </w:pPr>
            <w:r w:rsidRPr="007C0928">
              <w:rPr>
                <w:rFonts w:ascii="Arial" w:eastAsia="Times New Roman" w:hAnsi="Arial" w:cs="Arial"/>
                <w:kern w:val="0"/>
                <w:sz w:val="22"/>
                <w:szCs w:val="22"/>
                <w:lang w:val="en-US" w:eastAsia="en-GB"/>
                <w14:ligatures w14:val="none"/>
              </w:rPr>
              <w:t>At least 50% of carbon credits or CRVEs generated by projects focused on GHG removal must be allocated to these communities.</w:t>
            </w:r>
          </w:p>
          <w:p w14:paraId="1E979B68" w14:textId="6F6C7C42" w:rsidR="007C0928" w:rsidRPr="007C0928" w:rsidRDefault="007C0928" w:rsidP="007C0928">
            <w:pPr>
              <w:numPr>
                <w:ilvl w:val="0"/>
                <w:numId w:val="50"/>
              </w:numPr>
              <w:jc w:val="both"/>
              <w:textAlignment w:val="baseline"/>
              <w:rPr>
                <w:rFonts w:ascii="Arial" w:eastAsia="Times New Roman" w:hAnsi="Arial" w:cs="Arial"/>
                <w:kern w:val="0"/>
                <w:sz w:val="22"/>
                <w:szCs w:val="22"/>
                <w:lang w:val="en-US" w:eastAsia="en-GB"/>
                <w14:ligatures w14:val="none"/>
              </w:rPr>
            </w:pPr>
            <w:r w:rsidRPr="007C0928">
              <w:rPr>
                <w:rFonts w:ascii="Arial" w:eastAsia="Times New Roman" w:hAnsi="Arial" w:cs="Arial"/>
                <w:kern w:val="0"/>
                <w:sz w:val="22"/>
                <w:szCs w:val="22"/>
                <w:lang w:val="en-US" w:eastAsia="en-GB"/>
                <w14:ligatures w14:val="none"/>
              </w:rPr>
              <w:t>For REDD+ initiatives (projects addressing deforestation and forest degradation), they are entitled to at least 70% of the resulting credits or CRVEs</w:t>
            </w:r>
            <w:r w:rsidRPr="007C0928">
              <w:rPr>
                <w:rFonts w:ascii="Arial" w:eastAsia="Times New Roman" w:hAnsi="Arial" w:cs="Arial"/>
                <w:kern w:val="0"/>
                <w:sz w:val="22"/>
                <w:szCs w:val="22"/>
                <w:lang w:val="en-US" w:eastAsia="en-GB"/>
                <w14:ligatures w14:val="none"/>
              </w:rPr>
              <w:t>.</w:t>
            </w:r>
          </w:p>
          <w:p w14:paraId="40CFF5A4" w14:textId="092F6DF6" w:rsidR="007C0928" w:rsidRPr="007C0928" w:rsidRDefault="007C0928" w:rsidP="00B9367A">
            <w:pPr>
              <w:jc w:val="both"/>
              <w:textAlignment w:val="baseline"/>
              <w:rPr>
                <w:rFonts w:ascii="Arial" w:eastAsia="Times New Roman" w:hAnsi="Arial" w:cs="Arial"/>
                <w:kern w:val="0"/>
                <w:sz w:val="22"/>
                <w:szCs w:val="22"/>
                <w:lang w:val="en-US" w:eastAsia="en-GB"/>
                <w14:ligatures w14:val="none"/>
              </w:rPr>
            </w:pPr>
            <w:r w:rsidRPr="007C0928">
              <w:rPr>
                <w:rFonts w:ascii="Arial" w:eastAsia="Times New Roman" w:hAnsi="Arial" w:cs="Arial"/>
                <w:kern w:val="0"/>
                <w:sz w:val="22"/>
                <w:szCs w:val="22"/>
                <w:lang w:val="en-US" w:eastAsia="en-GB"/>
                <w14:ligatures w14:val="none"/>
              </w:rPr>
              <w:t>These allocations are conditional upon communities’ free, prior, and informed consent, and must be formalized via contractual agreements that ensure equitable and participatory management of benefits</w:t>
            </w:r>
            <w:r>
              <w:rPr>
                <w:rFonts w:ascii="Arial" w:eastAsia="Times New Roman" w:hAnsi="Arial" w:cs="Arial"/>
                <w:kern w:val="0"/>
                <w:sz w:val="22"/>
                <w:szCs w:val="22"/>
                <w:lang w:val="en-US" w:eastAsia="en-GB"/>
                <w14:ligatures w14:val="none"/>
              </w:rPr>
              <w:t>.</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0AE75A65" w:rsidR="000A6F11" w:rsidRPr="00CF2E7C" w:rsidRDefault="003E6E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B9A21E6" w:rsidR="00702413" w:rsidRPr="00CF2E7C" w:rsidRDefault="00702413" w:rsidP="00030D5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631362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0928">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34DA65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D5D">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3964DC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D5D">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2ECEFC4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D5D">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6D7B509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D5D">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55B0365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D5D">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64214A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D5D">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6C29436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D5D">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060B7FF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D5D">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24B3696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6C63F2D0" w:rsidR="00047A9C" w:rsidRPr="00CF2E7C" w:rsidRDefault="00E633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0BA317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F177C">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3209914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F177C">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341831C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F177C">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1F3A945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F177C">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0A813F1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01CF7F4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2547">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261E5AB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2547">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6552A3E" w14:textId="2A6A1391" w:rsidR="007B15EF" w:rsidRDefault="00047A9C" w:rsidP="007B15EF">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eastAsia="en-GB"/>
                <w14:ligatures w14:val="none"/>
              </w:rPr>
              <w:t> </w:t>
            </w:r>
            <w:r w:rsidR="00D654C5">
              <w:rPr>
                <w:rFonts w:ascii="Calibri" w:eastAsia="Times New Roman" w:hAnsi="Calibri" w:cs="Calibri"/>
                <w:kern w:val="0"/>
                <w:lang w:val="en-US" w:eastAsia="en-GB"/>
                <w14:ligatures w14:val="none"/>
              </w:rPr>
              <w:t xml:space="preserve">It is indirectly referenced by the requirements set out in Art. 25 of the Law </w:t>
            </w:r>
            <w:proofErr w:type="gramStart"/>
            <w:r w:rsidR="00D654C5">
              <w:rPr>
                <w:rFonts w:ascii="Calibri" w:eastAsia="Times New Roman" w:hAnsi="Calibri" w:cs="Calibri"/>
                <w:kern w:val="0"/>
                <w:lang w:val="en-US" w:eastAsia="en-GB"/>
                <w14:ligatures w14:val="none"/>
              </w:rPr>
              <w:t>towards</w:t>
            </w:r>
            <w:proofErr w:type="gramEnd"/>
            <w:r w:rsidR="00D654C5">
              <w:rPr>
                <w:rFonts w:ascii="Calibri" w:eastAsia="Times New Roman" w:hAnsi="Calibri" w:cs="Calibri"/>
                <w:kern w:val="0"/>
                <w:lang w:val="en-US" w:eastAsia="en-GB"/>
                <w14:ligatures w14:val="none"/>
              </w:rPr>
              <w:t xml:space="preserve"> the CRVE’s accredited methodologies, i.e.:</w:t>
            </w:r>
          </w:p>
          <w:p w14:paraId="2556C96A" w14:textId="0CFAC1BC" w:rsidR="00D654C5" w:rsidRPr="00D654C5" w:rsidRDefault="00D654C5" w:rsidP="00D654C5">
            <w:pPr>
              <w:textAlignment w:val="baseline"/>
              <w:rPr>
                <w:rFonts w:ascii="Calibri" w:eastAsia="Times New Roman" w:hAnsi="Calibri" w:cs="Calibri"/>
                <w:i/>
                <w:iCs/>
                <w:kern w:val="0"/>
                <w:lang w:val="en-US" w:eastAsia="en-GB"/>
                <w14:ligatures w14:val="none"/>
              </w:rPr>
            </w:pPr>
            <w:r>
              <w:rPr>
                <w:rFonts w:ascii="Calibri" w:eastAsia="Times New Roman" w:hAnsi="Calibri" w:cs="Calibri"/>
                <w:kern w:val="0"/>
                <w:lang w:val="pt-BR" w:eastAsia="en-GB"/>
                <w14:ligatures w14:val="none"/>
              </w:rPr>
              <w:t>“</w:t>
            </w:r>
            <w:r w:rsidRPr="00D654C5">
              <w:rPr>
                <w:rFonts w:ascii="Calibri" w:eastAsia="Times New Roman" w:hAnsi="Calibri" w:cs="Calibri"/>
                <w:i/>
                <w:iCs/>
                <w:kern w:val="0"/>
                <w:lang w:val="pt-BR" w:eastAsia="en-GB"/>
                <w14:ligatures w14:val="none"/>
              </w:rPr>
              <w:t>Art.</w:t>
            </w:r>
            <w:r w:rsidRPr="00D654C5">
              <w:rPr>
                <w:rFonts w:ascii="Calibri" w:eastAsia="Times New Roman" w:hAnsi="Calibri" w:cs="Calibri"/>
                <w:i/>
                <w:iCs/>
                <w:kern w:val="0"/>
                <w:lang w:val="en-US" w:eastAsia="en-GB"/>
                <w14:ligatures w14:val="none"/>
              </w:rPr>
              <w:t xml:space="preserve"> 25. The criteria for accrediting methodologies for generating CRVEs shall be established by the SBCE management body, with a view to:</w:t>
            </w:r>
          </w:p>
          <w:p w14:paraId="0D79A21B" w14:textId="77777777" w:rsidR="00D654C5" w:rsidRPr="00D654C5" w:rsidRDefault="00D654C5" w:rsidP="00D654C5">
            <w:pPr>
              <w:textAlignment w:val="baseline"/>
              <w:rPr>
                <w:rFonts w:ascii="Calibri" w:eastAsia="Times New Roman" w:hAnsi="Calibri" w:cs="Calibri"/>
                <w:i/>
                <w:iCs/>
                <w:kern w:val="0"/>
                <w:lang w:val="en-US" w:eastAsia="en-GB"/>
                <w14:ligatures w14:val="none"/>
              </w:rPr>
            </w:pPr>
            <w:r w:rsidRPr="00D654C5">
              <w:rPr>
                <w:rFonts w:ascii="Calibri" w:eastAsia="Times New Roman" w:hAnsi="Calibri" w:cs="Calibri"/>
                <w:i/>
                <w:iCs/>
                <w:kern w:val="0"/>
                <w:lang w:val="en-US" w:eastAsia="en-GB"/>
                <w14:ligatures w14:val="none"/>
              </w:rPr>
              <w:t xml:space="preserve">I - ensuring the credibility of the origination of assets included in the </w:t>
            </w:r>
            <w:proofErr w:type="gramStart"/>
            <w:r w:rsidRPr="00D654C5">
              <w:rPr>
                <w:rFonts w:ascii="Calibri" w:eastAsia="Times New Roman" w:hAnsi="Calibri" w:cs="Calibri"/>
                <w:i/>
                <w:iCs/>
                <w:kern w:val="0"/>
                <w:lang w:val="en-US" w:eastAsia="en-GB"/>
                <w14:ligatures w14:val="none"/>
              </w:rPr>
              <w:t>SBCE;</w:t>
            </w:r>
            <w:proofErr w:type="gramEnd"/>
          </w:p>
          <w:p w14:paraId="0E4C9AF0" w14:textId="77777777" w:rsidR="00D654C5" w:rsidRPr="00D654C5" w:rsidRDefault="00D654C5" w:rsidP="00D654C5">
            <w:pPr>
              <w:textAlignment w:val="baseline"/>
              <w:rPr>
                <w:rFonts w:ascii="Calibri" w:eastAsia="Times New Roman" w:hAnsi="Calibri" w:cs="Calibri"/>
                <w:i/>
                <w:iCs/>
                <w:kern w:val="0"/>
                <w:lang w:val="en-US" w:eastAsia="en-GB"/>
                <w14:ligatures w14:val="none"/>
              </w:rPr>
            </w:pPr>
            <w:r w:rsidRPr="00D654C5">
              <w:rPr>
                <w:rFonts w:ascii="Calibri" w:eastAsia="Times New Roman" w:hAnsi="Calibri" w:cs="Calibri"/>
                <w:i/>
                <w:iCs/>
                <w:kern w:val="0"/>
                <w:lang w:val="en-US" w:eastAsia="en-GB"/>
                <w14:ligatures w14:val="none"/>
              </w:rPr>
              <w:t xml:space="preserve">II - ensuring environmental integrity and compliance with socio-environmental </w:t>
            </w:r>
            <w:proofErr w:type="gramStart"/>
            <w:r w:rsidRPr="00D654C5">
              <w:rPr>
                <w:rFonts w:ascii="Calibri" w:eastAsia="Times New Roman" w:hAnsi="Calibri" w:cs="Calibri"/>
                <w:i/>
                <w:iCs/>
                <w:kern w:val="0"/>
                <w:lang w:val="en-US" w:eastAsia="en-GB"/>
                <w14:ligatures w14:val="none"/>
              </w:rPr>
              <w:t>safeguards;</w:t>
            </w:r>
            <w:proofErr w:type="gramEnd"/>
          </w:p>
          <w:p w14:paraId="2BE09459" w14:textId="77777777" w:rsidR="00D654C5" w:rsidRPr="00D654C5" w:rsidRDefault="00D654C5" w:rsidP="00D654C5">
            <w:pPr>
              <w:textAlignment w:val="baseline"/>
              <w:rPr>
                <w:rFonts w:ascii="Calibri" w:eastAsia="Times New Roman" w:hAnsi="Calibri" w:cs="Calibri"/>
                <w:i/>
                <w:iCs/>
                <w:kern w:val="0"/>
                <w:lang w:val="en-US" w:eastAsia="en-GB"/>
                <w14:ligatures w14:val="none"/>
              </w:rPr>
            </w:pPr>
            <w:r w:rsidRPr="00D654C5">
              <w:rPr>
                <w:rFonts w:ascii="Calibri" w:eastAsia="Times New Roman" w:hAnsi="Calibri" w:cs="Calibri"/>
                <w:i/>
                <w:iCs/>
                <w:kern w:val="0"/>
                <w:lang w:val="en-US" w:eastAsia="en-GB"/>
                <w14:ligatures w14:val="none"/>
              </w:rPr>
              <w:t>III - avoiding double counting.</w:t>
            </w:r>
          </w:p>
          <w:p w14:paraId="622F11AD" w14:textId="2A922DF7" w:rsidR="00D654C5" w:rsidRPr="00D654C5" w:rsidRDefault="00D654C5" w:rsidP="007B15EF">
            <w:pPr>
              <w:textAlignment w:val="baseline"/>
              <w:rPr>
                <w:rFonts w:ascii="Calibri" w:eastAsia="Times New Roman" w:hAnsi="Calibri" w:cs="Calibri"/>
                <w:kern w:val="0"/>
                <w:lang w:val="en-US" w:eastAsia="en-GB"/>
                <w14:ligatures w14:val="none"/>
              </w:rPr>
            </w:pPr>
            <w:r w:rsidRPr="00D654C5">
              <w:rPr>
                <w:rFonts w:ascii="Calibri" w:eastAsia="Times New Roman" w:hAnsi="Calibri" w:cs="Calibri"/>
                <w:i/>
                <w:iCs/>
                <w:kern w:val="0"/>
                <w:lang w:val="en-US" w:eastAsia="en-GB"/>
                <w14:ligatures w14:val="none"/>
              </w:rPr>
              <w:t>§ 1 For the accreditation referred to in the heading of this article, the methodologies shall, whenever applicable, be compatible with the definitions in multilateral treaties on the subject and with the other requirements defined by the SBCE management body</w:t>
            </w:r>
            <w:r w:rsidRPr="00D654C5">
              <w:rPr>
                <w:rFonts w:ascii="Calibri" w:eastAsia="Times New Roman" w:hAnsi="Calibri" w:cs="Calibri"/>
                <w:kern w:val="0"/>
                <w:lang w:val="en-US" w:eastAsia="en-GB"/>
                <w14:ligatures w14:val="none"/>
              </w:rPr>
              <w:t>”.</w:t>
            </w:r>
          </w:p>
          <w:p w14:paraId="29357060" w14:textId="28236512" w:rsidR="00047A9C" w:rsidRPr="00CB6BAF" w:rsidRDefault="00047A9C" w:rsidP="00CF2E7C">
            <w:pPr>
              <w:textAlignment w:val="baseline"/>
              <w:rPr>
                <w:rFonts w:ascii="Calibri" w:eastAsia="Times New Roman" w:hAnsi="Calibri" w:cs="Calibri"/>
                <w:kern w:val="0"/>
                <w:lang w:val="en-US"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3DB061F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1066">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32AA936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1066">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6BFD171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676B47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2547">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19A34B87" w14:textId="77777777" w:rsidR="00F82547" w:rsidRDefault="00047A9C" w:rsidP="00F82547">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eastAsia="en-GB"/>
                <w14:ligatures w14:val="none"/>
              </w:rPr>
              <w:t> </w:t>
            </w:r>
            <w:r w:rsidR="00F82547">
              <w:rPr>
                <w:rFonts w:ascii="Calibri" w:eastAsia="Times New Roman" w:hAnsi="Calibri" w:cs="Calibri"/>
                <w:kern w:val="0"/>
                <w:lang w:val="en-US" w:eastAsia="en-GB"/>
                <w14:ligatures w14:val="none"/>
              </w:rPr>
              <w:t xml:space="preserve">It is indirectly referenced by the requirements set out in Art. 25 of the Law </w:t>
            </w:r>
            <w:proofErr w:type="gramStart"/>
            <w:r w:rsidR="00F82547">
              <w:rPr>
                <w:rFonts w:ascii="Calibri" w:eastAsia="Times New Roman" w:hAnsi="Calibri" w:cs="Calibri"/>
                <w:kern w:val="0"/>
                <w:lang w:val="en-US" w:eastAsia="en-GB"/>
                <w14:ligatures w14:val="none"/>
              </w:rPr>
              <w:t>towards</w:t>
            </w:r>
            <w:proofErr w:type="gramEnd"/>
            <w:r w:rsidR="00F82547">
              <w:rPr>
                <w:rFonts w:ascii="Calibri" w:eastAsia="Times New Roman" w:hAnsi="Calibri" w:cs="Calibri"/>
                <w:kern w:val="0"/>
                <w:lang w:val="en-US" w:eastAsia="en-GB"/>
                <w14:ligatures w14:val="none"/>
              </w:rPr>
              <w:t xml:space="preserve"> the CRVE’s accredited methodologies, i.e.:</w:t>
            </w:r>
          </w:p>
          <w:p w14:paraId="289532D7" w14:textId="77777777" w:rsidR="00F82547" w:rsidRPr="00D654C5" w:rsidRDefault="00F82547" w:rsidP="00F82547">
            <w:pPr>
              <w:textAlignment w:val="baseline"/>
              <w:rPr>
                <w:rFonts w:ascii="Calibri" w:eastAsia="Times New Roman" w:hAnsi="Calibri" w:cs="Calibri"/>
                <w:i/>
                <w:iCs/>
                <w:kern w:val="0"/>
                <w:lang w:val="en-US" w:eastAsia="en-GB"/>
                <w14:ligatures w14:val="none"/>
              </w:rPr>
            </w:pPr>
            <w:r w:rsidRPr="00F82547">
              <w:rPr>
                <w:rFonts w:ascii="Calibri" w:eastAsia="Times New Roman" w:hAnsi="Calibri" w:cs="Calibri"/>
                <w:kern w:val="0"/>
                <w:lang w:val="en-US" w:eastAsia="en-GB"/>
                <w14:ligatures w14:val="none"/>
              </w:rPr>
              <w:t>“</w:t>
            </w:r>
            <w:r w:rsidRPr="00D654C5">
              <w:rPr>
                <w:rFonts w:ascii="Calibri" w:eastAsia="Times New Roman" w:hAnsi="Calibri" w:cs="Calibri"/>
                <w:i/>
                <w:iCs/>
                <w:kern w:val="0"/>
                <w:lang w:val="en-US" w:eastAsia="en-GB"/>
                <w14:ligatures w14:val="none"/>
              </w:rPr>
              <w:t>Art. 25. The criteria for accrediting methodologies for generating CRVEs shall be established by the SBCE management body, with a view to:</w:t>
            </w:r>
          </w:p>
          <w:p w14:paraId="7ECC2FCD" w14:textId="77777777" w:rsidR="00F82547" w:rsidRPr="00D654C5" w:rsidRDefault="00F82547" w:rsidP="00F82547">
            <w:pPr>
              <w:textAlignment w:val="baseline"/>
              <w:rPr>
                <w:rFonts w:ascii="Calibri" w:eastAsia="Times New Roman" w:hAnsi="Calibri" w:cs="Calibri"/>
                <w:i/>
                <w:iCs/>
                <w:kern w:val="0"/>
                <w:lang w:val="en-US" w:eastAsia="en-GB"/>
                <w14:ligatures w14:val="none"/>
              </w:rPr>
            </w:pPr>
            <w:r w:rsidRPr="00D654C5">
              <w:rPr>
                <w:rFonts w:ascii="Calibri" w:eastAsia="Times New Roman" w:hAnsi="Calibri" w:cs="Calibri"/>
                <w:i/>
                <w:iCs/>
                <w:kern w:val="0"/>
                <w:lang w:val="en-US" w:eastAsia="en-GB"/>
                <w14:ligatures w14:val="none"/>
              </w:rPr>
              <w:t xml:space="preserve">I - ensuring the credibility of the origination of assets included in the </w:t>
            </w:r>
            <w:proofErr w:type="gramStart"/>
            <w:r w:rsidRPr="00D654C5">
              <w:rPr>
                <w:rFonts w:ascii="Calibri" w:eastAsia="Times New Roman" w:hAnsi="Calibri" w:cs="Calibri"/>
                <w:i/>
                <w:iCs/>
                <w:kern w:val="0"/>
                <w:lang w:val="en-US" w:eastAsia="en-GB"/>
                <w14:ligatures w14:val="none"/>
              </w:rPr>
              <w:t>SBCE;</w:t>
            </w:r>
            <w:proofErr w:type="gramEnd"/>
          </w:p>
          <w:p w14:paraId="7A52D989" w14:textId="77777777" w:rsidR="00F82547" w:rsidRPr="00D654C5" w:rsidRDefault="00F82547" w:rsidP="00F82547">
            <w:pPr>
              <w:textAlignment w:val="baseline"/>
              <w:rPr>
                <w:rFonts w:ascii="Calibri" w:eastAsia="Times New Roman" w:hAnsi="Calibri" w:cs="Calibri"/>
                <w:i/>
                <w:iCs/>
                <w:kern w:val="0"/>
                <w:lang w:val="en-US" w:eastAsia="en-GB"/>
                <w14:ligatures w14:val="none"/>
              </w:rPr>
            </w:pPr>
            <w:r w:rsidRPr="00D654C5">
              <w:rPr>
                <w:rFonts w:ascii="Calibri" w:eastAsia="Times New Roman" w:hAnsi="Calibri" w:cs="Calibri"/>
                <w:i/>
                <w:iCs/>
                <w:kern w:val="0"/>
                <w:lang w:val="en-US" w:eastAsia="en-GB"/>
                <w14:ligatures w14:val="none"/>
              </w:rPr>
              <w:t xml:space="preserve">II - ensuring environmental integrity and compliance with socio-environmental </w:t>
            </w:r>
            <w:proofErr w:type="gramStart"/>
            <w:r w:rsidRPr="00D654C5">
              <w:rPr>
                <w:rFonts w:ascii="Calibri" w:eastAsia="Times New Roman" w:hAnsi="Calibri" w:cs="Calibri"/>
                <w:i/>
                <w:iCs/>
                <w:kern w:val="0"/>
                <w:lang w:val="en-US" w:eastAsia="en-GB"/>
                <w14:ligatures w14:val="none"/>
              </w:rPr>
              <w:t>safeguards;</w:t>
            </w:r>
            <w:proofErr w:type="gramEnd"/>
          </w:p>
          <w:p w14:paraId="57704598" w14:textId="77777777" w:rsidR="00F82547" w:rsidRPr="00D654C5" w:rsidRDefault="00F82547" w:rsidP="00F82547">
            <w:pPr>
              <w:textAlignment w:val="baseline"/>
              <w:rPr>
                <w:rFonts w:ascii="Calibri" w:eastAsia="Times New Roman" w:hAnsi="Calibri" w:cs="Calibri"/>
                <w:i/>
                <w:iCs/>
                <w:kern w:val="0"/>
                <w:lang w:val="en-US" w:eastAsia="en-GB"/>
                <w14:ligatures w14:val="none"/>
              </w:rPr>
            </w:pPr>
            <w:r w:rsidRPr="00D654C5">
              <w:rPr>
                <w:rFonts w:ascii="Calibri" w:eastAsia="Times New Roman" w:hAnsi="Calibri" w:cs="Calibri"/>
                <w:i/>
                <w:iCs/>
                <w:kern w:val="0"/>
                <w:lang w:val="en-US" w:eastAsia="en-GB"/>
                <w14:ligatures w14:val="none"/>
              </w:rPr>
              <w:t>III - avoiding double counting.</w:t>
            </w:r>
          </w:p>
          <w:p w14:paraId="092AB68F" w14:textId="77777777" w:rsidR="00F82547" w:rsidRPr="00D654C5" w:rsidRDefault="00F82547" w:rsidP="00F82547">
            <w:pPr>
              <w:textAlignment w:val="baseline"/>
              <w:rPr>
                <w:rFonts w:ascii="Calibri" w:eastAsia="Times New Roman" w:hAnsi="Calibri" w:cs="Calibri"/>
                <w:kern w:val="0"/>
                <w:lang w:val="en-US" w:eastAsia="en-GB"/>
                <w14:ligatures w14:val="none"/>
              </w:rPr>
            </w:pPr>
            <w:r w:rsidRPr="00D654C5">
              <w:rPr>
                <w:rFonts w:ascii="Calibri" w:eastAsia="Times New Roman" w:hAnsi="Calibri" w:cs="Calibri"/>
                <w:i/>
                <w:iCs/>
                <w:kern w:val="0"/>
                <w:lang w:val="en-US" w:eastAsia="en-GB"/>
                <w14:ligatures w14:val="none"/>
              </w:rPr>
              <w:t>§ 1 For the accreditation referred to in the heading of this article, the methodologies shall, whenever applicable, be compatible with the definitions in multilateral treaties on the subject and with the other requirements defined by the SBCE management body</w:t>
            </w:r>
            <w:r w:rsidRPr="00D654C5">
              <w:rPr>
                <w:rFonts w:ascii="Calibri" w:eastAsia="Times New Roman" w:hAnsi="Calibri" w:cs="Calibri"/>
                <w:kern w:val="0"/>
                <w:lang w:val="en-US" w:eastAsia="en-GB"/>
                <w14:ligatures w14:val="none"/>
              </w:rPr>
              <w:t>”.</w:t>
            </w:r>
          </w:p>
          <w:p w14:paraId="0FE0C2C7" w14:textId="46AA335D"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68064C0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549EFA9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443A">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021A61C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027BF22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5443A">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653A790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65C2">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0F42F6E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65C2">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52C58C0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00B2">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F997A2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5B0C43F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65C2">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3FA293C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BA0A10E" w14:textId="77777777" w:rsidR="00E5443A" w:rsidRDefault="00E5443A" w:rsidP="00E5443A">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It is indirectly referenced by the requirements set out in Art. 25 of the Law </w:t>
            </w:r>
            <w:proofErr w:type="gramStart"/>
            <w:r>
              <w:rPr>
                <w:rFonts w:ascii="Calibri" w:eastAsia="Times New Roman" w:hAnsi="Calibri" w:cs="Calibri"/>
                <w:kern w:val="0"/>
                <w:lang w:val="en-US" w:eastAsia="en-GB"/>
                <w14:ligatures w14:val="none"/>
              </w:rPr>
              <w:t>towards</w:t>
            </w:r>
            <w:proofErr w:type="gramEnd"/>
            <w:r>
              <w:rPr>
                <w:rFonts w:ascii="Calibri" w:eastAsia="Times New Roman" w:hAnsi="Calibri" w:cs="Calibri"/>
                <w:kern w:val="0"/>
                <w:lang w:val="en-US" w:eastAsia="en-GB"/>
                <w14:ligatures w14:val="none"/>
              </w:rPr>
              <w:t xml:space="preserve"> the CRVE’s accredited methodologies, i.e.:</w:t>
            </w:r>
          </w:p>
          <w:p w14:paraId="2C4F4DE9" w14:textId="77777777" w:rsidR="00E5443A" w:rsidRPr="00D654C5" w:rsidRDefault="00E5443A" w:rsidP="00E5443A">
            <w:pPr>
              <w:textAlignment w:val="baseline"/>
              <w:rPr>
                <w:rFonts w:ascii="Calibri" w:eastAsia="Times New Roman" w:hAnsi="Calibri" w:cs="Calibri"/>
                <w:i/>
                <w:iCs/>
                <w:kern w:val="0"/>
                <w:lang w:val="en-US" w:eastAsia="en-GB"/>
                <w14:ligatures w14:val="none"/>
              </w:rPr>
            </w:pPr>
            <w:r w:rsidRPr="00E5443A">
              <w:rPr>
                <w:rFonts w:ascii="Calibri" w:eastAsia="Times New Roman" w:hAnsi="Calibri" w:cs="Calibri"/>
                <w:kern w:val="0"/>
                <w:lang w:val="en-US" w:eastAsia="en-GB"/>
                <w14:ligatures w14:val="none"/>
              </w:rPr>
              <w:t>“</w:t>
            </w:r>
            <w:r w:rsidRPr="00D654C5">
              <w:rPr>
                <w:rFonts w:ascii="Calibri" w:eastAsia="Times New Roman" w:hAnsi="Calibri" w:cs="Calibri"/>
                <w:i/>
                <w:iCs/>
                <w:kern w:val="0"/>
                <w:lang w:val="en-US" w:eastAsia="en-GB"/>
                <w14:ligatures w14:val="none"/>
              </w:rPr>
              <w:t>Art. 25. The criteria for accrediting methodologies for generating CRVEs shall be established by the SBCE management body, with a view to:</w:t>
            </w:r>
          </w:p>
          <w:p w14:paraId="796CA37B" w14:textId="77777777" w:rsidR="00E5443A" w:rsidRPr="00D654C5" w:rsidRDefault="00E5443A" w:rsidP="00E5443A">
            <w:pPr>
              <w:textAlignment w:val="baseline"/>
              <w:rPr>
                <w:rFonts w:ascii="Calibri" w:eastAsia="Times New Roman" w:hAnsi="Calibri" w:cs="Calibri"/>
                <w:i/>
                <w:iCs/>
                <w:kern w:val="0"/>
                <w:lang w:val="en-US" w:eastAsia="en-GB"/>
                <w14:ligatures w14:val="none"/>
              </w:rPr>
            </w:pPr>
            <w:r w:rsidRPr="00D654C5">
              <w:rPr>
                <w:rFonts w:ascii="Calibri" w:eastAsia="Times New Roman" w:hAnsi="Calibri" w:cs="Calibri"/>
                <w:i/>
                <w:iCs/>
                <w:kern w:val="0"/>
                <w:lang w:val="en-US" w:eastAsia="en-GB"/>
                <w14:ligatures w14:val="none"/>
              </w:rPr>
              <w:t xml:space="preserve">I - ensuring the credibility of the origination of assets included in the </w:t>
            </w:r>
            <w:proofErr w:type="gramStart"/>
            <w:r w:rsidRPr="00D654C5">
              <w:rPr>
                <w:rFonts w:ascii="Calibri" w:eastAsia="Times New Roman" w:hAnsi="Calibri" w:cs="Calibri"/>
                <w:i/>
                <w:iCs/>
                <w:kern w:val="0"/>
                <w:lang w:val="en-US" w:eastAsia="en-GB"/>
                <w14:ligatures w14:val="none"/>
              </w:rPr>
              <w:t>SBCE;</w:t>
            </w:r>
            <w:proofErr w:type="gramEnd"/>
          </w:p>
          <w:p w14:paraId="57C89C98" w14:textId="77777777" w:rsidR="00E5443A" w:rsidRPr="00D654C5" w:rsidRDefault="00E5443A" w:rsidP="00E5443A">
            <w:pPr>
              <w:textAlignment w:val="baseline"/>
              <w:rPr>
                <w:rFonts w:ascii="Calibri" w:eastAsia="Times New Roman" w:hAnsi="Calibri" w:cs="Calibri"/>
                <w:i/>
                <w:iCs/>
                <w:kern w:val="0"/>
                <w:lang w:val="en-US" w:eastAsia="en-GB"/>
                <w14:ligatures w14:val="none"/>
              </w:rPr>
            </w:pPr>
            <w:r w:rsidRPr="00D654C5">
              <w:rPr>
                <w:rFonts w:ascii="Calibri" w:eastAsia="Times New Roman" w:hAnsi="Calibri" w:cs="Calibri"/>
                <w:i/>
                <w:iCs/>
                <w:kern w:val="0"/>
                <w:lang w:val="en-US" w:eastAsia="en-GB"/>
                <w14:ligatures w14:val="none"/>
              </w:rPr>
              <w:t xml:space="preserve">II - ensuring environmental integrity and compliance with socio-environmental </w:t>
            </w:r>
            <w:proofErr w:type="gramStart"/>
            <w:r w:rsidRPr="00D654C5">
              <w:rPr>
                <w:rFonts w:ascii="Calibri" w:eastAsia="Times New Roman" w:hAnsi="Calibri" w:cs="Calibri"/>
                <w:i/>
                <w:iCs/>
                <w:kern w:val="0"/>
                <w:lang w:val="en-US" w:eastAsia="en-GB"/>
                <w14:ligatures w14:val="none"/>
              </w:rPr>
              <w:t>safeguards;</w:t>
            </w:r>
            <w:proofErr w:type="gramEnd"/>
          </w:p>
          <w:p w14:paraId="462C573F" w14:textId="77777777" w:rsidR="00E5443A" w:rsidRPr="00D654C5" w:rsidRDefault="00E5443A" w:rsidP="00E5443A">
            <w:pPr>
              <w:textAlignment w:val="baseline"/>
              <w:rPr>
                <w:rFonts w:ascii="Calibri" w:eastAsia="Times New Roman" w:hAnsi="Calibri" w:cs="Calibri"/>
                <w:i/>
                <w:iCs/>
                <w:kern w:val="0"/>
                <w:lang w:val="en-US" w:eastAsia="en-GB"/>
                <w14:ligatures w14:val="none"/>
              </w:rPr>
            </w:pPr>
            <w:r w:rsidRPr="00D654C5">
              <w:rPr>
                <w:rFonts w:ascii="Calibri" w:eastAsia="Times New Roman" w:hAnsi="Calibri" w:cs="Calibri"/>
                <w:i/>
                <w:iCs/>
                <w:kern w:val="0"/>
                <w:lang w:val="en-US" w:eastAsia="en-GB"/>
                <w14:ligatures w14:val="none"/>
              </w:rPr>
              <w:t>III - avoiding double counting.</w:t>
            </w:r>
          </w:p>
          <w:p w14:paraId="2E1BF889" w14:textId="77777777" w:rsidR="00E5443A" w:rsidRPr="00D654C5" w:rsidRDefault="00E5443A" w:rsidP="00E5443A">
            <w:pPr>
              <w:textAlignment w:val="baseline"/>
              <w:rPr>
                <w:rFonts w:ascii="Calibri" w:eastAsia="Times New Roman" w:hAnsi="Calibri" w:cs="Calibri"/>
                <w:kern w:val="0"/>
                <w:lang w:val="en-US" w:eastAsia="en-GB"/>
                <w14:ligatures w14:val="none"/>
              </w:rPr>
            </w:pPr>
            <w:r w:rsidRPr="00D654C5">
              <w:rPr>
                <w:rFonts w:ascii="Calibri" w:eastAsia="Times New Roman" w:hAnsi="Calibri" w:cs="Calibri"/>
                <w:i/>
                <w:iCs/>
                <w:kern w:val="0"/>
                <w:lang w:val="en-US" w:eastAsia="en-GB"/>
                <w14:ligatures w14:val="none"/>
              </w:rPr>
              <w:t>§ 1 For the accreditation referred to in the heading of this article, the methodologies shall, whenever applicable, be compatible with the definitions in multilateral treaties on the subject and with the other requirements defined by the SBCE management body</w:t>
            </w:r>
            <w:r w:rsidRPr="00D654C5">
              <w:rPr>
                <w:rFonts w:ascii="Calibri" w:eastAsia="Times New Roman" w:hAnsi="Calibri" w:cs="Calibri"/>
                <w:kern w:val="0"/>
                <w:lang w:val="en-US" w:eastAsia="en-GB"/>
                <w14:ligatures w14:val="none"/>
              </w:rPr>
              <w:t>”.</w:t>
            </w:r>
          </w:p>
          <w:p w14:paraId="773FCD5C" w14:textId="59397093" w:rsidR="00047A9C" w:rsidRPr="009D024D" w:rsidRDefault="00055BB6" w:rsidP="009D024D">
            <w:pPr>
              <w:jc w:val="both"/>
              <w:textAlignment w:val="baseline"/>
              <w:rPr>
                <w:rFonts w:ascii="Calibri" w:eastAsia="Times New Roman" w:hAnsi="Calibri" w:cs="Calibri"/>
                <w:kern w:val="0"/>
                <w:lang w:val="en-US" w:eastAsia="en-GB"/>
                <w14:ligatures w14:val="none"/>
              </w:rPr>
            </w:pPr>
            <w:r w:rsidRPr="00055BB6">
              <w:rPr>
                <w:rFonts w:ascii="Calibri" w:eastAsia="Times New Roman" w:hAnsi="Calibri" w:cs="Calibri"/>
                <w:kern w:val="0"/>
                <w:lang w:val="en-US" w:eastAsia="en-GB"/>
                <w14:ligatures w14:val="none"/>
              </w:rPr>
              <w:t xml:space="preserve">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1EFA4330" w:rsidR="00DD694D" w:rsidRPr="00CF2E7C" w:rsidRDefault="00D4562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5237603D" w14:textId="3495A3B7" w:rsidR="001C0F68" w:rsidRPr="001C0F68" w:rsidRDefault="001C0F68" w:rsidP="001C0F68">
            <w:pPr>
              <w:jc w:val="both"/>
              <w:textAlignment w:val="baseline"/>
              <w:rPr>
                <w:rFonts w:ascii="Calibri" w:eastAsia="Times New Roman" w:hAnsi="Calibri" w:cs="Calibri"/>
                <w:kern w:val="0"/>
                <w:lang w:val="en-US" w:eastAsia="en-GB"/>
                <w14:ligatures w14:val="none"/>
              </w:rPr>
            </w:pPr>
            <w:r w:rsidRPr="001C0F68">
              <w:rPr>
                <w:rFonts w:ascii="Calibri" w:eastAsia="Times New Roman" w:hAnsi="Calibri" w:cs="Calibri"/>
                <w:kern w:val="0"/>
                <w:lang w:val="en-US" w:eastAsia="en-GB"/>
                <w14:ligatures w14:val="none"/>
              </w:rPr>
              <w:t>Article 25</w:t>
            </w:r>
            <w:r w:rsidR="00DF7AFF">
              <w:rPr>
                <w:rFonts w:ascii="Calibri" w:eastAsia="Times New Roman" w:hAnsi="Calibri" w:cs="Calibri"/>
                <w:kern w:val="0"/>
                <w:lang w:val="en-US" w:eastAsia="en-GB"/>
                <w14:ligatures w14:val="none"/>
              </w:rPr>
              <w:t xml:space="preserve"> </w:t>
            </w:r>
            <w:r w:rsidRPr="001C0F68">
              <w:rPr>
                <w:rFonts w:ascii="Calibri" w:eastAsia="Times New Roman" w:hAnsi="Calibri" w:cs="Calibri"/>
                <w:kern w:val="0"/>
                <w:lang w:val="en-US" w:eastAsia="en-GB"/>
                <w14:ligatures w14:val="none"/>
              </w:rPr>
              <w:t>mandates that all accredited methodologies must guarantee the "environmental integrity" and "credibility" of the resulting credits. This inherently requires that the quantification of climate benefits is accurate, measurable, and verifiable.</w:t>
            </w:r>
          </w:p>
          <w:p w14:paraId="4073F913" w14:textId="1DB57869" w:rsidR="00DD694D" w:rsidRPr="001C0F68" w:rsidRDefault="001C0F68" w:rsidP="001C0F68">
            <w:pPr>
              <w:jc w:val="both"/>
              <w:textAlignment w:val="baseline"/>
              <w:rPr>
                <w:rFonts w:ascii="Calibri" w:eastAsia="Times New Roman" w:hAnsi="Calibri" w:cs="Calibri"/>
                <w:kern w:val="0"/>
                <w:lang w:val="en-US" w:eastAsia="en-GB"/>
                <w14:ligatures w14:val="none"/>
              </w:rPr>
            </w:pPr>
            <w:r w:rsidRPr="001C0F68">
              <w:rPr>
                <w:rFonts w:ascii="Calibri" w:eastAsia="Times New Roman" w:hAnsi="Calibri" w:cs="Calibri"/>
                <w:kern w:val="0"/>
                <w:lang w:val="en-US" w:eastAsia="en-GB"/>
                <w14:ligatures w14:val="none"/>
              </w:rPr>
              <w:t>While the law itself does not prescribe specific technical formulas, baseline-setting rules, or conservativeness factors, it empowers the system's regulator to approve only those methodologies that adhere to scientifically sound principles and international best practices for quantification.</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1CA945A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D1113">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24E277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D1113">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1F0B92C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D1113">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3F8ABD3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00B2">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4888C7E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00B2">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4269F79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00B2">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3A031981" w:rsidR="00DD694D" w:rsidRPr="005D279F" w:rsidRDefault="001C23DF" w:rsidP="005D279F">
            <w:pPr>
              <w:jc w:val="both"/>
              <w:textAlignment w:val="baseline"/>
              <w:rPr>
                <w:rFonts w:ascii="Calibri" w:eastAsia="Times New Roman" w:hAnsi="Calibri" w:cs="Calibri"/>
                <w:kern w:val="0"/>
                <w:lang w:val="en-US" w:eastAsia="en-GB"/>
                <w14:ligatures w14:val="none"/>
              </w:rPr>
            </w:pPr>
            <w:r w:rsidRPr="001C23DF">
              <w:rPr>
                <w:rFonts w:ascii="Calibri" w:eastAsia="Times New Roman" w:hAnsi="Calibri" w:cs="Calibri"/>
                <w:kern w:val="0"/>
                <w:lang w:val="en-US" w:eastAsia="en-GB"/>
                <w14:ligatures w14:val="none"/>
              </w:rPr>
              <w:t xml:space="preserve">The SBCE law </w:t>
            </w:r>
            <w:r w:rsidR="00F46A65">
              <w:rPr>
                <w:rFonts w:ascii="Calibri" w:eastAsia="Times New Roman" w:hAnsi="Calibri" w:cs="Calibri"/>
                <w:kern w:val="0"/>
                <w:lang w:val="en-US" w:eastAsia="en-GB"/>
                <w14:ligatures w14:val="none"/>
              </w:rPr>
              <w:t>has provisions towards</w:t>
            </w:r>
            <w:r w:rsidRPr="001C23DF">
              <w:rPr>
                <w:rFonts w:ascii="Calibri" w:eastAsia="Times New Roman" w:hAnsi="Calibri" w:cs="Calibri"/>
                <w:kern w:val="0"/>
                <w:lang w:val="en-US" w:eastAsia="en-GB"/>
                <w14:ligatures w14:val="none"/>
              </w:rPr>
              <w:t xml:space="preserve"> the social integrity of carbon </w:t>
            </w:r>
            <w:proofErr w:type="gramStart"/>
            <w:r w:rsidRPr="001C23DF">
              <w:rPr>
                <w:rFonts w:ascii="Calibri" w:eastAsia="Times New Roman" w:hAnsi="Calibri" w:cs="Calibri"/>
                <w:kern w:val="0"/>
                <w:lang w:val="en-US" w:eastAsia="en-GB"/>
                <w14:ligatures w14:val="none"/>
              </w:rPr>
              <w:t>credits</w:t>
            </w:r>
            <w:proofErr w:type="gramEnd"/>
            <w:r w:rsidRPr="001C23DF">
              <w:rPr>
                <w:rFonts w:ascii="Calibri" w:eastAsia="Times New Roman" w:hAnsi="Calibri" w:cs="Calibri"/>
                <w:kern w:val="0"/>
                <w:lang w:val="en-US" w:eastAsia="en-GB"/>
                <w14:ligatures w14:val="none"/>
              </w:rPr>
              <w:t xml:space="preserve"> through mandatory, specific requirements for project developers.</w:t>
            </w:r>
            <w:r w:rsidR="00F46A65">
              <w:rPr>
                <w:rFonts w:ascii="Calibri" w:eastAsia="Times New Roman" w:hAnsi="Calibri" w:cs="Calibri"/>
                <w:kern w:val="0"/>
                <w:lang w:val="en-US" w:eastAsia="en-GB"/>
                <w14:ligatures w14:val="none"/>
              </w:rPr>
              <w:t xml:space="preserve"> </w:t>
            </w:r>
            <w:r w:rsidRPr="001C23DF">
              <w:rPr>
                <w:rFonts w:ascii="Calibri" w:eastAsia="Times New Roman" w:hAnsi="Calibri" w:cs="Calibri"/>
                <w:kern w:val="0"/>
                <w:lang w:val="en-US" w:eastAsia="en-GB"/>
                <w14:ligatures w14:val="none"/>
              </w:rPr>
              <w:t>Its primary safeguard is established in Article 25, which requires that all methodologies for generating credits must ensure compliance with socio-environmental safeguards</w:t>
            </w:r>
            <w:r w:rsidR="00F46A65">
              <w:rPr>
                <w:rFonts w:ascii="Calibri" w:eastAsia="Times New Roman" w:hAnsi="Calibri" w:cs="Calibri"/>
                <w:kern w:val="0"/>
                <w:lang w:val="en-US" w:eastAsia="en-GB"/>
                <w14:ligatures w14:val="none"/>
              </w:rPr>
              <w:t>. T</w:t>
            </w:r>
            <w:r w:rsidRPr="001C23DF">
              <w:rPr>
                <w:rFonts w:ascii="Calibri" w:eastAsia="Times New Roman" w:hAnsi="Calibri" w:cs="Calibri"/>
                <w:kern w:val="0"/>
                <w:lang w:val="en-US" w:eastAsia="en-GB"/>
                <w14:ligatures w14:val="none"/>
              </w:rPr>
              <w:t>his general requirement is powerfully reinforced by Article 47, which is dedicated to the rights of indigenous peoples and traditional communities. This article makes any carbon credit project on their lands conditional on obtaining Free, Prior, and Informed Consent</w:t>
            </w:r>
            <w:r w:rsidR="005D279F" w:rsidRPr="005D279F">
              <w:rPr>
                <w:rFonts w:ascii="Calibri" w:eastAsia="Times New Roman" w:hAnsi="Calibri" w:cs="Calibri"/>
                <w:kern w:val="0"/>
                <w:lang w:val="en-US" w:eastAsia="en-GB"/>
                <w14:ligatures w14:val="none"/>
              </w:rPr>
              <w:t>.</w:t>
            </w:r>
            <w:r w:rsidRPr="001C23DF">
              <w:rPr>
                <w:rFonts w:ascii="Calibri" w:eastAsia="Times New Roman" w:hAnsi="Calibri" w:cs="Calibri"/>
                <w:kern w:val="0"/>
                <w:lang w:val="en-US" w:eastAsia="en-GB"/>
                <w14:ligatures w14:val="none"/>
              </w:rPr>
              <w:t xml:space="preserve"> The law also directs the National Allocation Plan to consider a project's potential to generate social co-benefits, further encouraging positive community impacts.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5C744560" w:rsidR="00B87C89" w:rsidRPr="00CF2E7C" w:rsidRDefault="007934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23F62B0E"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6F2A1B67" w:rsidR="002119B6" w:rsidRPr="00CF2E7C" w:rsidRDefault="00F46A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D6A3840" w14:textId="7D6F774A" w:rsidR="00F46A65" w:rsidRDefault="00F46A65" w:rsidP="00F46A65">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T</w:t>
            </w:r>
            <w:r>
              <w:rPr>
                <w:rFonts w:ascii="Calibri" w:eastAsia="Times New Roman" w:hAnsi="Calibri" w:cs="Calibri"/>
                <w:kern w:val="0"/>
                <w:lang w:val="en-US" w:eastAsia="en-GB"/>
                <w14:ligatures w14:val="none"/>
              </w:rPr>
              <w:t xml:space="preserve">he requirements set out in Art. 25 of the Law </w:t>
            </w:r>
            <w:proofErr w:type="gramStart"/>
            <w:r>
              <w:rPr>
                <w:rFonts w:ascii="Calibri" w:eastAsia="Times New Roman" w:hAnsi="Calibri" w:cs="Calibri"/>
                <w:kern w:val="0"/>
                <w:lang w:val="en-US" w:eastAsia="en-GB"/>
                <w14:ligatures w14:val="none"/>
              </w:rPr>
              <w:t>towards</w:t>
            </w:r>
            <w:proofErr w:type="gramEnd"/>
            <w:r>
              <w:rPr>
                <w:rFonts w:ascii="Calibri" w:eastAsia="Times New Roman" w:hAnsi="Calibri" w:cs="Calibri"/>
                <w:kern w:val="0"/>
                <w:lang w:val="en-US" w:eastAsia="en-GB"/>
                <w14:ligatures w14:val="none"/>
              </w:rPr>
              <w:t xml:space="preserve"> the CRVE’s accredited methodologies, i.e.:</w:t>
            </w:r>
          </w:p>
          <w:p w14:paraId="2EFCD694" w14:textId="77777777" w:rsidR="00F46A65" w:rsidRPr="00D654C5" w:rsidRDefault="00F46A65" w:rsidP="00F46A65">
            <w:pPr>
              <w:textAlignment w:val="baseline"/>
              <w:rPr>
                <w:rFonts w:ascii="Calibri" w:eastAsia="Times New Roman" w:hAnsi="Calibri" w:cs="Calibri"/>
                <w:i/>
                <w:iCs/>
                <w:kern w:val="0"/>
                <w:lang w:val="en-US" w:eastAsia="en-GB"/>
                <w14:ligatures w14:val="none"/>
              </w:rPr>
            </w:pPr>
            <w:r w:rsidRPr="00F46A65">
              <w:rPr>
                <w:rFonts w:ascii="Calibri" w:eastAsia="Times New Roman" w:hAnsi="Calibri" w:cs="Calibri"/>
                <w:kern w:val="0"/>
                <w:lang w:val="en-US" w:eastAsia="en-GB"/>
                <w14:ligatures w14:val="none"/>
              </w:rPr>
              <w:t>“</w:t>
            </w:r>
            <w:r w:rsidRPr="00D654C5">
              <w:rPr>
                <w:rFonts w:ascii="Calibri" w:eastAsia="Times New Roman" w:hAnsi="Calibri" w:cs="Calibri"/>
                <w:i/>
                <w:iCs/>
                <w:kern w:val="0"/>
                <w:lang w:val="en-US" w:eastAsia="en-GB"/>
                <w14:ligatures w14:val="none"/>
              </w:rPr>
              <w:t>Art. 25. The criteria for accrediting methodologies for generating CRVEs shall be established by the SBCE management body, with a view to:</w:t>
            </w:r>
          </w:p>
          <w:p w14:paraId="34C0B1C0" w14:textId="77777777" w:rsidR="00F46A65" w:rsidRPr="00D654C5" w:rsidRDefault="00F46A65" w:rsidP="00F46A65">
            <w:pPr>
              <w:textAlignment w:val="baseline"/>
              <w:rPr>
                <w:rFonts w:ascii="Calibri" w:eastAsia="Times New Roman" w:hAnsi="Calibri" w:cs="Calibri"/>
                <w:i/>
                <w:iCs/>
                <w:kern w:val="0"/>
                <w:lang w:val="en-US" w:eastAsia="en-GB"/>
                <w14:ligatures w14:val="none"/>
              </w:rPr>
            </w:pPr>
            <w:r w:rsidRPr="00D654C5">
              <w:rPr>
                <w:rFonts w:ascii="Calibri" w:eastAsia="Times New Roman" w:hAnsi="Calibri" w:cs="Calibri"/>
                <w:i/>
                <w:iCs/>
                <w:kern w:val="0"/>
                <w:lang w:val="en-US" w:eastAsia="en-GB"/>
                <w14:ligatures w14:val="none"/>
              </w:rPr>
              <w:t xml:space="preserve">I - ensuring the credibility of the origination of assets included in the </w:t>
            </w:r>
            <w:proofErr w:type="gramStart"/>
            <w:r w:rsidRPr="00D654C5">
              <w:rPr>
                <w:rFonts w:ascii="Calibri" w:eastAsia="Times New Roman" w:hAnsi="Calibri" w:cs="Calibri"/>
                <w:i/>
                <w:iCs/>
                <w:kern w:val="0"/>
                <w:lang w:val="en-US" w:eastAsia="en-GB"/>
                <w14:ligatures w14:val="none"/>
              </w:rPr>
              <w:t>SBCE;</w:t>
            </w:r>
            <w:proofErr w:type="gramEnd"/>
          </w:p>
          <w:p w14:paraId="5F6FDF40" w14:textId="77777777" w:rsidR="00F46A65" w:rsidRPr="00D654C5" w:rsidRDefault="00F46A65" w:rsidP="00F46A65">
            <w:pPr>
              <w:textAlignment w:val="baseline"/>
              <w:rPr>
                <w:rFonts w:ascii="Calibri" w:eastAsia="Times New Roman" w:hAnsi="Calibri" w:cs="Calibri"/>
                <w:i/>
                <w:iCs/>
                <w:kern w:val="0"/>
                <w:lang w:val="en-US" w:eastAsia="en-GB"/>
                <w14:ligatures w14:val="none"/>
              </w:rPr>
            </w:pPr>
            <w:r w:rsidRPr="00D654C5">
              <w:rPr>
                <w:rFonts w:ascii="Calibri" w:eastAsia="Times New Roman" w:hAnsi="Calibri" w:cs="Calibri"/>
                <w:i/>
                <w:iCs/>
                <w:kern w:val="0"/>
                <w:lang w:val="en-US" w:eastAsia="en-GB"/>
                <w14:ligatures w14:val="none"/>
              </w:rPr>
              <w:t xml:space="preserve">II - ensuring environmental integrity and compliance with socio-environmental </w:t>
            </w:r>
            <w:proofErr w:type="gramStart"/>
            <w:r w:rsidRPr="00D654C5">
              <w:rPr>
                <w:rFonts w:ascii="Calibri" w:eastAsia="Times New Roman" w:hAnsi="Calibri" w:cs="Calibri"/>
                <w:i/>
                <w:iCs/>
                <w:kern w:val="0"/>
                <w:lang w:val="en-US" w:eastAsia="en-GB"/>
                <w14:ligatures w14:val="none"/>
              </w:rPr>
              <w:t>safeguards;</w:t>
            </w:r>
            <w:proofErr w:type="gramEnd"/>
          </w:p>
          <w:p w14:paraId="61D4858C" w14:textId="77777777" w:rsidR="00F46A65" w:rsidRPr="00D654C5" w:rsidRDefault="00F46A65" w:rsidP="00F46A65">
            <w:pPr>
              <w:textAlignment w:val="baseline"/>
              <w:rPr>
                <w:rFonts w:ascii="Calibri" w:eastAsia="Times New Roman" w:hAnsi="Calibri" w:cs="Calibri"/>
                <w:i/>
                <w:iCs/>
                <w:kern w:val="0"/>
                <w:lang w:val="en-US" w:eastAsia="en-GB"/>
                <w14:ligatures w14:val="none"/>
              </w:rPr>
            </w:pPr>
            <w:r w:rsidRPr="00D654C5">
              <w:rPr>
                <w:rFonts w:ascii="Calibri" w:eastAsia="Times New Roman" w:hAnsi="Calibri" w:cs="Calibri"/>
                <w:i/>
                <w:iCs/>
                <w:kern w:val="0"/>
                <w:lang w:val="en-US" w:eastAsia="en-GB"/>
                <w14:ligatures w14:val="none"/>
              </w:rPr>
              <w:t>III - avoiding double counting.</w:t>
            </w:r>
          </w:p>
          <w:p w14:paraId="311429E5" w14:textId="77777777" w:rsidR="00F46A65" w:rsidRPr="00D654C5" w:rsidRDefault="00F46A65" w:rsidP="00F46A65">
            <w:pPr>
              <w:textAlignment w:val="baseline"/>
              <w:rPr>
                <w:rFonts w:ascii="Calibri" w:eastAsia="Times New Roman" w:hAnsi="Calibri" w:cs="Calibri"/>
                <w:kern w:val="0"/>
                <w:lang w:val="en-US" w:eastAsia="en-GB"/>
                <w14:ligatures w14:val="none"/>
              </w:rPr>
            </w:pPr>
            <w:r w:rsidRPr="00D654C5">
              <w:rPr>
                <w:rFonts w:ascii="Calibri" w:eastAsia="Times New Roman" w:hAnsi="Calibri" w:cs="Calibri"/>
                <w:i/>
                <w:iCs/>
                <w:kern w:val="0"/>
                <w:lang w:val="en-US" w:eastAsia="en-GB"/>
                <w14:ligatures w14:val="none"/>
              </w:rPr>
              <w:t>§ 1 For the accreditation referred to in the heading of this article, the methodologies shall, whenever applicable, be compatible with the definitions in multilateral treaties on the subject and with the other requirements defined by the SBCE management body</w:t>
            </w:r>
            <w:r w:rsidRPr="00D654C5">
              <w:rPr>
                <w:rFonts w:ascii="Calibri" w:eastAsia="Times New Roman" w:hAnsi="Calibri" w:cs="Calibri"/>
                <w:kern w:val="0"/>
                <w:lang w:val="en-US" w:eastAsia="en-GB"/>
                <w14:ligatures w14:val="none"/>
              </w:rPr>
              <w:t>”.</w:t>
            </w:r>
          </w:p>
          <w:p w14:paraId="153D276A" w14:textId="72049635" w:rsidR="002119B6" w:rsidRPr="00F46A65" w:rsidRDefault="002119B6" w:rsidP="00CF2E7C">
            <w:pPr>
              <w:textAlignment w:val="baseline"/>
              <w:rPr>
                <w:rFonts w:ascii="Calibri" w:eastAsia="Times New Roman" w:hAnsi="Calibri" w:cs="Calibri"/>
                <w:kern w:val="0"/>
                <w:lang w:val="en-US"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38405B8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6D87E977" w:rsidR="00FE7FA5" w:rsidRPr="00CF2E7C" w:rsidRDefault="00F46A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192F5FBD" w:rsidR="00FE7FA5" w:rsidRPr="00CF2E7C" w:rsidRDefault="008906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Chapter IV of the Law is entirely dedicated to the VCM. Further, the Law </w:t>
            </w:r>
            <w:proofErr w:type="gramStart"/>
            <w:r>
              <w:rPr>
                <w:rFonts w:ascii="Calibri" w:eastAsia="Times New Roman" w:hAnsi="Calibri" w:cs="Calibri"/>
                <w:kern w:val="0"/>
                <w:lang w:eastAsia="en-GB"/>
                <w14:ligatures w14:val="none"/>
              </w:rPr>
              <w:t>as a whole sets</w:t>
            </w:r>
            <w:proofErr w:type="gramEnd"/>
            <w:r>
              <w:rPr>
                <w:rFonts w:ascii="Calibri" w:eastAsia="Times New Roman" w:hAnsi="Calibri" w:cs="Calibri"/>
                <w:kern w:val="0"/>
                <w:lang w:eastAsia="en-GB"/>
                <w14:ligatures w14:val="none"/>
              </w:rPr>
              <w:t xml:space="preserve"> forth the initial interaction principles between the compliance and voluntary markets.</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768DEED" w14:textId="4E71D9AA" w:rsidR="00F03537" w:rsidRPr="00F03537" w:rsidRDefault="00F03537" w:rsidP="00F03537">
            <w:pPr>
              <w:textAlignment w:val="baseline"/>
              <w:rPr>
                <w:rFonts w:ascii="Calibri" w:eastAsia="Times New Roman" w:hAnsi="Calibri" w:cs="Calibri"/>
                <w:kern w:val="0"/>
                <w:lang w:val="en-US" w:eastAsia="en-GB"/>
                <w14:ligatures w14:val="none"/>
              </w:rPr>
            </w:pPr>
            <w:r w:rsidRPr="00F03537">
              <w:rPr>
                <w:rFonts w:ascii="Calibri" w:eastAsia="Times New Roman" w:hAnsi="Calibri" w:cs="Calibri"/>
                <w:kern w:val="0"/>
                <w:lang w:val="en-US" w:eastAsia="en-GB"/>
                <w14:ligatures w14:val="none"/>
              </w:rPr>
              <w:t xml:space="preserve">Art. 42. </w:t>
            </w:r>
            <w:r w:rsidRPr="00F03537">
              <w:rPr>
                <w:rFonts w:ascii="Calibri" w:eastAsia="Times New Roman" w:hAnsi="Calibri" w:cs="Calibri"/>
                <w:kern w:val="0"/>
                <w:lang w:val="en-US" w:eastAsia="en-GB"/>
                <w14:ligatures w14:val="none"/>
              </w:rPr>
              <w:t>De</w:t>
            </w:r>
            <w:r>
              <w:rPr>
                <w:rFonts w:ascii="Calibri" w:eastAsia="Times New Roman" w:hAnsi="Calibri" w:cs="Calibri"/>
                <w:kern w:val="0"/>
                <w:lang w:val="en-US" w:eastAsia="en-GB"/>
                <w14:ligatures w14:val="none"/>
              </w:rPr>
              <w:t>termines that “c</w:t>
            </w:r>
            <w:r w:rsidRPr="00F03537">
              <w:rPr>
                <w:rFonts w:ascii="Calibri" w:eastAsia="Times New Roman" w:hAnsi="Calibri" w:cs="Calibri"/>
                <w:kern w:val="0"/>
                <w:lang w:val="en-US" w:eastAsia="en-GB"/>
                <w14:ligatures w14:val="none"/>
              </w:rPr>
              <w:t xml:space="preserve">arbon credits generated from projects or programs that involve GHG emission reduction or removal may be offered, originally, on the voluntary market by any carbon credit project generator or developer that holds the credits, </w:t>
            </w:r>
            <w:r>
              <w:rPr>
                <w:rFonts w:ascii="Calibri" w:eastAsia="Times New Roman" w:hAnsi="Calibri" w:cs="Calibri"/>
                <w:kern w:val="0"/>
                <w:lang w:val="en-US" w:eastAsia="en-GB"/>
                <w14:ligatures w14:val="none"/>
              </w:rPr>
              <w:t>(…)</w:t>
            </w:r>
            <w:r w:rsidRPr="00F03537">
              <w:rPr>
                <w:rFonts w:ascii="Calibri" w:eastAsia="Times New Roman" w:hAnsi="Calibri" w:cs="Calibri"/>
                <w:kern w:val="0"/>
                <w:lang w:val="en-US" w:eastAsia="en-GB"/>
                <w14:ligatures w14:val="none"/>
              </w:rPr>
              <w:t>, or by a public entity that develops jurisdictional programs and public carbon credit projects</w:t>
            </w:r>
            <w:r>
              <w:rPr>
                <w:rFonts w:ascii="Calibri" w:eastAsia="Times New Roman" w:hAnsi="Calibri" w:cs="Calibri"/>
                <w:kern w:val="0"/>
                <w:lang w:val="en-US" w:eastAsia="en-GB"/>
                <w14:ligatures w14:val="none"/>
              </w:rPr>
              <w:t>”.</w:t>
            </w:r>
          </w:p>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40A49F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49C43C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34EE9C4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40ED8AB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3EF3B5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3BC3C12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5FD60BD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6BC83B4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B973CF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085D8DF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081C227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3A63BC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1F35D42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6F178CB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57D3D8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03537">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1A99621C" w:rsidR="00FE7FA5" w:rsidRPr="009C4D10" w:rsidRDefault="00C71FA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09559B3A" w:rsidR="00FE7FA5" w:rsidRPr="009C4D10" w:rsidRDefault="00C71FA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E320A6" w:rsidRDefault="00FE7FA5" w:rsidP="00E320A6">
            <w:pPr>
              <w:jc w:val="both"/>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FB3E0F1" w14:textId="0F337A66" w:rsidR="0017609E" w:rsidRPr="0017609E" w:rsidRDefault="00E320A6" w:rsidP="00E320A6">
            <w:pPr>
              <w:jc w:val="both"/>
              <w:textAlignment w:val="baseline"/>
              <w:rPr>
                <w:rFonts w:eastAsia="Times New Roman" w:cstheme="minorHAnsi"/>
                <w:kern w:val="0"/>
                <w:lang w:val="en-US" w:eastAsia="en-GB"/>
                <w14:ligatures w14:val="none"/>
              </w:rPr>
            </w:pPr>
            <w:r w:rsidRPr="00E320A6">
              <w:rPr>
                <w:rFonts w:eastAsia="Times New Roman" w:cstheme="minorHAnsi"/>
                <w:kern w:val="0"/>
                <w:lang w:val="en-US" w:eastAsia="en-GB"/>
                <w14:ligatures w14:val="none"/>
              </w:rPr>
              <w:t>T</w:t>
            </w:r>
            <w:r w:rsidR="0017609E" w:rsidRPr="0017609E">
              <w:rPr>
                <w:rFonts w:eastAsia="Times New Roman" w:cstheme="minorHAnsi"/>
                <w:kern w:val="0"/>
                <w:lang w:val="en-US" w:eastAsia="en-GB"/>
                <w14:ligatures w14:val="none"/>
              </w:rPr>
              <w:t>he law establishes a Designated National Authority for Article 6, which is responsible for authorizing the international transfer of mitigation outcomes. This directly operationalizes Article 6.2 by creating a formal process for bilateral cooperation.</w:t>
            </w:r>
          </w:p>
          <w:p w14:paraId="52C942A2" w14:textId="77777777" w:rsidR="0017609E" w:rsidRPr="0017609E" w:rsidRDefault="0017609E" w:rsidP="00E320A6">
            <w:pPr>
              <w:jc w:val="both"/>
              <w:textAlignment w:val="baseline"/>
              <w:rPr>
                <w:rFonts w:eastAsia="Times New Roman" w:cstheme="minorHAnsi"/>
                <w:kern w:val="0"/>
                <w:lang w:val="en-US" w:eastAsia="en-GB"/>
                <w14:ligatures w14:val="none"/>
              </w:rPr>
            </w:pPr>
            <w:r w:rsidRPr="0017609E">
              <w:rPr>
                <w:rFonts w:eastAsia="Times New Roman" w:cstheme="minorHAnsi"/>
                <w:kern w:val="0"/>
                <w:lang w:val="en-US" w:eastAsia="en-GB"/>
                <w14:ligatures w14:val="none"/>
              </w:rPr>
              <w:t>Furthermore, the law requires the creation of a system to apply Corresponding Adjustments to Brazil's national inventory upon the transfer of a credit. This accounting rule is essential for both Article 6.2 and 6.4, ensuring that emission reductions are not double counted.</w:t>
            </w:r>
          </w:p>
          <w:p w14:paraId="08F9B0DF" w14:textId="0E96C7E2" w:rsidR="00FE7FA5" w:rsidRPr="00E320A6" w:rsidRDefault="0017609E" w:rsidP="00E320A6">
            <w:pPr>
              <w:jc w:val="both"/>
              <w:textAlignment w:val="baseline"/>
              <w:rPr>
                <w:rFonts w:eastAsia="Times New Roman" w:cstheme="minorHAnsi"/>
                <w:kern w:val="0"/>
                <w:lang w:val="en-US" w:eastAsia="en-GB"/>
                <w14:ligatures w14:val="none"/>
              </w:rPr>
            </w:pPr>
            <w:r w:rsidRPr="0017609E">
              <w:rPr>
                <w:rFonts w:eastAsia="Times New Roman" w:cstheme="minorHAnsi"/>
                <w:kern w:val="0"/>
                <w:lang w:val="en-US" w:eastAsia="en-GB"/>
                <w14:ligatures w14:val="none"/>
              </w:rPr>
              <w:t>By requiring high-integrity methodologies under Article 25, the law ensures that Brazilian credits are generated to a standard compatible with the Article 6.4 centralized UN mechanism, preparing the country to engage in these global carbon markets.</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4A5C2A37" w:rsidR="00392F82" w:rsidRPr="009C4D10" w:rsidRDefault="00DD677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CCC570C" w:rsidR="00392F82" w:rsidRPr="009C4D10" w:rsidRDefault="00DD677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563443B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DD6775">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7866F58D" w:rsidR="00392F82" w:rsidRPr="00260043" w:rsidRDefault="000A0D6F" w:rsidP="00260043">
            <w:pPr>
              <w:jc w:val="both"/>
              <w:textAlignment w:val="baseline"/>
              <w:rPr>
                <w:rFonts w:eastAsia="Times New Roman" w:cstheme="minorHAnsi"/>
                <w:kern w:val="0"/>
                <w:lang w:val="en-US" w:eastAsia="en-GB"/>
                <w14:ligatures w14:val="none"/>
              </w:rPr>
            </w:pPr>
            <w:r w:rsidRPr="000A0D6F">
              <w:rPr>
                <w:rFonts w:eastAsia="Times New Roman" w:cstheme="minorHAnsi"/>
                <w:kern w:val="0"/>
                <w:lang w:val="en-US" w:eastAsia="en-GB"/>
                <w14:ligatures w14:val="none"/>
              </w:rPr>
              <w:t>The policy tool regulates carbon credits as financial instruments. Article 14 of the law is key, defining carbon credits</w:t>
            </w:r>
            <w:r w:rsidR="00255652">
              <w:rPr>
                <w:rFonts w:eastAsia="Times New Roman" w:cstheme="minorHAnsi"/>
                <w:kern w:val="0"/>
                <w:lang w:val="en-US" w:eastAsia="en-GB"/>
                <w14:ligatures w14:val="none"/>
              </w:rPr>
              <w:t xml:space="preserve">, </w:t>
            </w:r>
            <w:r w:rsidRPr="000A0D6F">
              <w:rPr>
                <w:rFonts w:eastAsia="Times New Roman" w:cstheme="minorHAnsi"/>
                <w:kern w:val="0"/>
                <w:lang w:val="en-US" w:eastAsia="en-GB"/>
                <w14:ligatures w14:val="none"/>
              </w:rPr>
              <w:t>CRVEs and allowances (CBEs) as “</w:t>
            </w:r>
            <w:proofErr w:type="spellStart"/>
            <w:r w:rsidRPr="000A0D6F">
              <w:rPr>
                <w:rFonts w:eastAsia="Times New Roman" w:cstheme="minorHAnsi"/>
                <w:kern w:val="0"/>
                <w:lang w:val="en-US" w:eastAsia="en-GB"/>
                <w14:ligatures w14:val="none"/>
              </w:rPr>
              <w:t>valores</w:t>
            </w:r>
            <w:proofErr w:type="spellEnd"/>
            <w:r w:rsidRPr="000A0D6F">
              <w:rPr>
                <w:rFonts w:eastAsia="Times New Roman" w:cstheme="minorHAnsi"/>
                <w:kern w:val="0"/>
                <w:lang w:val="en-US" w:eastAsia="en-GB"/>
                <w14:ligatures w14:val="none"/>
              </w:rPr>
              <w:t xml:space="preserve"> </w:t>
            </w:r>
            <w:proofErr w:type="spellStart"/>
            <w:r w:rsidRPr="000A0D6F">
              <w:rPr>
                <w:rFonts w:eastAsia="Times New Roman" w:cstheme="minorHAnsi"/>
                <w:kern w:val="0"/>
                <w:lang w:val="en-US" w:eastAsia="en-GB"/>
                <w14:ligatures w14:val="none"/>
              </w:rPr>
              <w:t>mobiliários</w:t>
            </w:r>
            <w:proofErr w:type="spellEnd"/>
            <w:r w:rsidRPr="000A0D6F">
              <w:rPr>
                <w:rFonts w:eastAsia="Times New Roman" w:cstheme="minorHAnsi"/>
                <w:kern w:val="0"/>
                <w:lang w:val="en-US" w:eastAsia="en-GB"/>
                <w14:ligatures w14:val="none"/>
              </w:rPr>
              <w:t>” (securities) when traded on capital markets. This legal certainty places them under the supervision of Brazil's securities commission (CVM), as per Article 16. This framework enables the credits to be officially listed and traded on regulated exchanges.</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6AEFC361" w:rsidR="00392F82" w:rsidRPr="00260043" w:rsidRDefault="00260043" w:rsidP="00CF2E7C">
            <w:pPr>
              <w:textAlignment w:val="baseline"/>
              <w:rPr>
                <w:rFonts w:eastAsia="Times New Roman" w:cstheme="minorHAnsi"/>
                <w:kern w:val="0"/>
                <w:lang w:eastAsia="en-GB"/>
                <w14:ligatures w14:val="none"/>
              </w:rPr>
            </w:pPr>
            <w:r w:rsidRPr="00260043">
              <w:rPr>
                <w:rFonts w:eastAsia="Times New Roman" w:cstheme="minorHAnsi"/>
                <w:kern w:val="0"/>
                <w:lang w:eastAsia="en-GB"/>
                <w14:ligatures w14:val="none"/>
              </w:rPr>
              <w:t xml:space="preserve">Market integrity is ensured primarily by the </w:t>
            </w:r>
            <w:proofErr w:type="spellStart"/>
            <w:r w:rsidRPr="00260043">
              <w:rPr>
                <w:rFonts w:eastAsia="Times New Roman" w:cstheme="minorHAnsi"/>
                <w:kern w:val="0"/>
                <w:lang w:eastAsia="en-GB"/>
                <w14:ligatures w14:val="none"/>
              </w:rPr>
              <w:t>Registro</w:t>
            </w:r>
            <w:proofErr w:type="spellEnd"/>
            <w:r w:rsidRPr="00260043">
              <w:rPr>
                <w:rFonts w:eastAsia="Times New Roman" w:cstheme="minorHAnsi"/>
                <w:kern w:val="0"/>
                <w:lang w:eastAsia="en-GB"/>
                <w14:ligatures w14:val="none"/>
              </w:rPr>
              <w:t xml:space="preserve"> Central do SBCE (Central Registry)</w:t>
            </w:r>
            <w:r w:rsidR="002C66A3">
              <w:rPr>
                <w:rFonts w:eastAsia="Times New Roman" w:cstheme="minorHAnsi"/>
                <w:kern w:val="0"/>
                <w:lang w:eastAsia="en-GB"/>
                <w14:ligatures w14:val="none"/>
              </w:rPr>
              <w:t>, yet to be implemented.</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A7483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A7483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A47F96" w14:textId="77777777" w:rsidR="005B7DC1" w:rsidRDefault="005B7DC1" w:rsidP="00874E39">
      <w:r>
        <w:separator/>
      </w:r>
    </w:p>
  </w:endnote>
  <w:endnote w:type="continuationSeparator" w:id="0">
    <w:p w14:paraId="38293458" w14:textId="77777777" w:rsidR="005B7DC1" w:rsidRDefault="005B7DC1" w:rsidP="00874E39">
      <w:r>
        <w:continuationSeparator/>
      </w:r>
    </w:p>
  </w:endnote>
  <w:endnote w:type="continuationNotice" w:id="1">
    <w:p w14:paraId="1D175984" w14:textId="77777777" w:rsidR="005B7DC1" w:rsidRDefault="005B7DC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247044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D45744" w14:textId="77777777" w:rsidR="005B7DC1" w:rsidRDefault="005B7DC1" w:rsidP="00874E39">
      <w:r>
        <w:separator/>
      </w:r>
    </w:p>
  </w:footnote>
  <w:footnote w:type="continuationSeparator" w:id="0">
    <w:p w14:paraId="04AAF14C" w14:textId="77777777" w:rsidR="005B7DC1" w:rsidRDefault="005B7DC1" w:rsidP="00874E39">
      <w:r>
        <w:continuationSeparator/>
      </w:r>
    </w:p>
  </w:footnote>
  <w:footnote w:type="continuationNotice" w:id="1">
    <w:p w14:paraId="3192C65B" w14:textId="77777777" w:rsidR="005B7DC1" w:rsidRDefault="005B7DC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304E79"/>
    <w:multiLevelType w:val="multilevel"/>
    <w:tmpl w:val="6DF85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3C22E86"/>
    <w:multiLevelType w:val="multilevel"/>
    <w:tmpl w:val="06CC1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11"/>
  </w:num>
  <w:num w:numId="13" w16cid:durableId="2023899324">
    <w:abstractNumId w:val="13"/>
  </w:num>
  <w:num w:numId="14" w16cid:durableId="430587014">
    <w:abstractNumId w:val="8"/>
  </w:num>
  <w:num w:numId="15" w16cid:durableId="1742869061">
    <w:abstractNumId w:val="32"/>
  </w:num>
  <w:num w:numId="16" w16cid:durableId="1996450437">
    <w:abstractNumId w:val="21"/>
  </w:num>
  <w:num w:numId="17" w16cid:durableId="1529031027">
    <w:abstractNumId w:val="10"/>
  </w:num>
  <w:num w:numId="18" w16cid:durableId="568614617">
    <w:abstractNumId w:val="19"/>
  </w:num>
  <w:num w:numId="19" w16cid:durableId="1530605858">
    <w:abstractNumId w:val="44"/>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6"/>
  </w:num>
  <w:num w:numId="28" w16cid:durableId="537133110">
    <w:abstractNumId w:val="14"/>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2"/>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2125466814">
    <w:abstractNumId w:val="7"/>
  </w:num>
  <w:num w:numId="50" w16cid:durableId="968977448">
    <w:abstractNumId w:val="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2F8"/>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0D5D"/>
    <w:rsid w:val="000334B6"/>
    <w:rsid w:val="0003453A"/>
    <w:rsid w:val="00034EDB"/>
    <w:rsid w:val="00035464"/>
    <w:rsid w:val="000372C9"/>
    <w:rsid w:val="000403CE"/>
    <w:rsid w:val="00040F2E"/>
    <w:rsid w:val="00040F48"/>
    <w:rsid w:val="00041BB2"/>
    <w:rsid w:val="00042406"/>
    <w:rsid w:val="00042518"/>
    <w:rsid w:val="000428FA"/>
    <w:rsid w:val="0004463F"/>
    <w:rsid w:val="000449A7"/>
    <w:rsid w:val="000463AE"/>
    <w:rsid w:val="00046B6B"/>
    <w:rsid w:val="00047A6C"/>
    <w:rsid w:val="00047A9C"/>
    <w:rsid w:val="00050BDF"/>
    <w:rsid w:val="000526BB"/>
    <w:rsid w:val="00052CA3"/>
    <w:rsid w:val="000555DB"/>
    <w:rsid w:val="00055BB6"/>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1FE0"/>
    <w:rsid w:val="00092534"/>
    <w:rsid w:val="00092E1C"/>
    <w:rsid w:val="00093CA9"/>
    <w:rsid w:val="000948C7"/>
    <w:rsid w:val="00096371"/>
    <w:rsid w:val="000966D3"/>
    <w:rsid w:val="000A0D34"/>
    <w:rsid w:val="000A0D6F"/>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7B"/>
    <w:rsid w:val="001221BA"/>
    <w:rsid w:val="00122504"/>
    <w:rsid w:val="00122733"/>
    <w:rsid w:val="00123F5C"/>
    <w:rsid w:val="00124C48"/>
    <w:rsid w:val="00125CE5"/>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066"/>
    <w:rsid w:val="00152507"/>
    <w:rsid w:val="00152C19"/>
    <w:rsid w:val="001535BA"/>
    <w:rsid w:val="00153DBC"/>
    <w:rsid w:val="00153F69"/>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09E"/>
    <w:rsid w:val="00180056"/>
    <w:rsid w:val="00180289"/>
    <w:rsid w:val="00182288"/>
    <w:rsid w:val="00182646"/>
    <w:rsid w:val="00183170"/>
    <w:rsid w:val="00184609"/>
    <w:rsid w:val="00185BF8"/>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0DC"/>
    <w:rsid w:val="001C008B"/>
    <w:rsid w:val="001C0769"/>
    <w:rsid w:val="001C0F68"/>
    <w:rsid w:val="001C239C"/>
    <w:rsid w:val="001C23DF"/>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1E8"/>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1B8"/>
    <w:rsid w:val="00242839"/>
    <w:rsid w:val="00244207"/>
    <w:rsid w:val="00246630"/>
    <w:rsid w:val="00247DE7"/>
    <w:rsid w:val="002500FA"/>
    <w:rsid w:val="00250ED8"/>
    <w:rsid w:val="00250F54"/>
    <w:rsid w:val="0025129B"/>
    <w:rsid w:val="0025449C"/>
    <w:rsid w:val="00254F9E"/>
    <w:rsid w:val="002552C9"/>
    <w:rsid w:val="00255652"/>
    <w:rsid w:val="0025765F"/>
    <w:rsid w:val="00257732"/>
    <w:rsid w:val="00260043"/>
    <w:rsid w:val="00264CBC"/>
    <w:rsid w:val="0026588F"/>
    <w:rsid w:val="0026642F"/>
    <w:rsid w:val="002679A5"/>
    <w:rsid w:val="0027067C"/>
    <w:rsid w:val="002709BA"/>
    <w:rsid w:val="00270A4D"/>
    <w:rsid w:val="00272D9A"/>
    <w:rsid w:val="0027350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5BD"/>
    <w:rsid w:val="002A6274"/>
    <w:rsid w:val="002A6707"/>
    <w:rsid w:val="002A7AA5"/>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78E"/>
    <w:rsid w:val="002C5E2F"/>
    <w:rsid w:val="002C66A3"/>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118"/>
    <w:rsid w:val="003000B2"/>
    <w:rsid w:val="00300C2F"/>
    <w:rsid w:val="003020DB"/>
    <w:rsid w:val="00302816"/>
    <w:rsid w:val="00302BC0"/>
    <w:rsid w:val="003032A9"/>
    <w:rsid w:val="00303B91"/>
    <w:rsid w:val="00303D9A"/>
    <w:rsid w:val="00304070"/>
    <w:rsid w:val="00306538"/>
    <w:rsid w:val="00307058"/>
    <w:rsid w:val="003071A8"/>
    <w:rsid w:val="00307464"/>
    <w:rsid w:val="00307B73"/>
    <w:rsid w:val="0031143A"/>
    <w:rsid w:val="00311F1B"/>
    <w:rsid w:val="00313275"/>
    <w:rsid w:val="00313E83"/>
    <w:rsid w:val="003175A1"/>
    <w:rsid w:val="003218C6"/>
    <w:rsid w:val="0032259B"/>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A7A"/>
    <w:rsid w:val="00354D67"/>
    <w:rsid w:val="00357003"/>
    <w:rsid w:val="003577A4"/>
    <w:rsid w:val="003578CE"/>
    <w:rsid w:val="00357B9E"/>
    <w:rsid w:val="0036091A"/>
    <w:rsid w:val="00360C57"/>
    <w:rsid w:val="00360F12"/>
    <w:rsid w:val="00360F42"/>
    <w:rsid w:val="0036166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AD1"/>
    <w:rsid w:val="00392F82"/>
    <w:rsid w:val="0039353D"/>
    <w:rsid w:val="003937AD"/>
    <w:rsid w:val="00393BA9"/>
    <w:rsid w:val="0039625A"/>
    <w:rsid w:val="003A0463"/>
    <w:rsid w:val="003A0C73"/>
    <w:rsid w:val="003A144F"/>
    <w:rsid w:val="003A2976"/>
    <w:rsid w:val="003A2E5E"/>
    <w:rsid w:val="003A4A9F"/>
    <w:rsid w:val="003A52E3"/>
    <w:rsid w:val="003A5B03"/>
    <w:rsid w:val="003B0628"/>
    <w:rsid w:val="003B2B2B"/>
    <w:rsid w:val="003B3B08"/>
    <w:rsid w:val="003B3C0F"/>
    <w:rsid w:val="003B4DD6"/>
    <w:rsid w:val="003B4F81"/>
    <w:rsid w:val="003B5157"/>
    <w:rsid w:val="003B539A"/>
    <w:rsid w:val="003B5B6C"/>
    <w:rsid w:val="003B66F6"/>
    <w:rsid w:val="003B7723"/>
    <w:rsid w:val="003B7854"/>
    <w:rsid w:val="003C16DA"/>
    <w:rsid w:val="003C5BA2"/>
    <w:rsid w:val="003D1292"/>
    <w:rsid w:val="003D17C7"/>
    <w:rsid w:val="003D1B49"/>
    <w:rsid w:val="003D1CF3"/>
    <w:rsid w:val="003D207B"/>
    <w:rsid w:val="003D244B"/>
    <w:rsid w:val="003D2F57"/>
    <w:rsid w:val="003D377C"/>
    <w:rsid w:val="003D4F6F"/>
    <w:rsid w:val="003D5104"/>
    <w:rsid w:val="003D56A4"/>
    <w:rsid w:val="003D6DA5"/>
    <w:rsid w:val="003E037B"/>
    <w:rsid w:val="003E38C7"/>
    <w:rsid w:val="003E43FE"/>
    <w:rsid w:val="003E6EF1"/>
    <w:rsid w:val="003E7DD6"/>
    <w:rsid w:val="003F0F21"/>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6D7E"/>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37E20"/>
    <w:rsid w:val="004405AC"/>
    <w:rsid w:val="004419AC"/>
    <w:rsid w:val="004424DB"/>
    <w:rsid w:val="00444D51"/>
    <w:rsid w:val="004474C7"/>
    <w:rsid w:val="00450AD7"/>
    <w:rsid w:val="00450C15"/>
    <w:rsid w:val="004514AB"/>
    <w:rsid w:val="00452F13"/>
    <w:rsid w:val="004557A1"/>
    <w:rsid w:val="00455E1B"/>
    <w:rsid w:val="00460A6D"/>
    <w:rsid w:val="00461552"/>
    <w:rsid w:val="004631B9"/>
    <w:rsid w:val="00463D40"/>
    <w:rsid w:val="00464C5E"/>
    <w:rsid w:val="0046509D"/>
    <w:rsid w:val="00465B8D"/>
    <w:rsid w:val="00465BE4"/>
    <w:rsid w:val="00467A1C"/>
    <w:rsid w:val="00470095"/>
    <w:rsid w:val="00470D19"/>
    <w:rsid w:val="004711F3"/>
    <w:rsid w:val="00473D86"/>
    <w:rsid w:val="00473F25"/>
    <w:rsid w:val="00474855"/>
    <w:rsid w:val="004768DF"/>
    <w:rsid w:val="00480247"/>
    <w:rsid w:val="00483B35"/>
    <w:rsid w:val="00483D65"/>
    <w:rsid w:val="00484663"/>
    <w:rsid w:val="00485848"/>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AD"/>
    <w:rsid w:val="004B3C40"/>
    <w:rsid w:val="004B4203"/>
    <w:rsid w:val="004B666D"/>
    <w:rsid w:val="004B739E"/>
    <w:rsid w:val="004B77AB"/>
    <w:rsid w:val="004C006D"/>
    <w:rsid w:val="004C20B7"/>
    <w:rsid w:val="004C3866"/>
    <w:rsid w:val="004C3A52"/>
    <w:rsid w:val="004C6739"/>
    <w:rsid w:val="004C70AC"/>
    <w:rsid w:val="004D1113"/>
    <w:rsid w:val="004D2730"/>
    <w:rsid w:val="004D3416"/>
    <w:rsid w:val="004D5810"/>
    <w:rsid w:val="004D6484"/>
    <w:rsid w:val="004D7C53"/>
    <w:rsid w:val="004E4F56"/>
    <w:rsid w:val="004E51B5"/>
    <w:rsid w:val="004F00E7"/>
    <w:rsid w:val="004F0C55"/>
    <w:rsid w:val="004F276F"/>
    <w:rsid w:val="004F48E8"/>
    <w:rsid w:val="004F5354"/>
    <w:rsid w:val="00501CCF"/>
    <w:rsid w:val="00502833"/>
    <w:rsid w:val="00502C8A"/>
    <w:rsid w:val="00502F7A"/>
    <w:rsid w:val="00504B03"/>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383"/>
    <w:rsid w:val="00541713"/>
    <w:rsid w:val="00542E3C"/>
    <w:rsid w:val="00543246"/>
    <w:rsid w:val="005439FC"/>
    <w:rsid w:val="00543A7C"/>
    <w:rsid w:val="00543D45"/>
    <w:rsid w:val="00544705"/>
    <w:rsid w:val="00545554"/>
    <w:rsid w:val="0054662E"/>
    <w:rsid w:val="0054680A"/>
    <w:rsid w:val="00547B98"/>
    <w:rsid w:val="0055251F"/>
    <w:rsid w:val="00553495"/>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B7DC1"/>
    <w:rsid w:val="005C0D95"/>
    <w:rsid w:val="005C327C"/>
    <w:rsid w:val="005C4420"/>
    <w:rsid w:val="005C5681"/>
    <w:rsid w:val="005C6A1D"/>
    <w:rsid w:val="005C765C"/>
    <w:rsid w:val="005C7DF6"/>
    <w:rsid w:val="005D02C9"/>
    <w:rsid w:val="005D173E"/>
    <w:rsid w:val="005D279F"/>
    <w:rsid w:val="005D55BE"/>
    <w:rsid w:val="005D76C8"/>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48D"/>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2C8"/>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C8B"/>
    <w:rsid w:val="006621B6"/>
    <w:rsid w:val="00662657"/>
    <w:rsid w:val="006636CE"/>
    <w:rsid w:val="00663D94"/>
    <w:rsid w:val="00664677"/>
    <w:rsid w:val="00666CB6"/>
    <w:rsid w:val="0067199E"/>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DE7"/>
    <w:rsid w:val="006D43AA"/>
    <w:rsid w:val="006D4C70"/>
    <w:rsid w:val="006D5605"/>
    <w:rsid w:val="006E114C"/>
    <w:rsid w:val="006E18FD"/>
    <w:rsid w:val="006E23C1"/>
    <w:rsid w:val="006E3C6E"/>
    <w:rsid w:val="006E43A6"/>
    <w:rsid w:val="006E5C5F"/>
    <w:rsid w:val="006E5EE5"/>
    <w:rsid w:val="006E6B58"/>
    <w:rsid w:val="006E7195"/>
    <w:rsid w:val="006E7DC6"/>
    <w:rsid w:val="006F0B64"/>
    <w:rsid w:val="006F0E83"/>
    <w:rsid w:val="006F13BA"/>
    <w:rsid w:val="006F2FC8"/>
    <w:rsid w:val="006F344F"/>
    <w:rsid w:val="006F3CBF"/>
    <w:rsid w:val="006F531C"/>
    <w:rsid w:val="006F53B6"/>
    <w:rsid w:val="006F7123"/>
    <w:rsid w:val="0070013E"/>
    <w:rsid w:val="00700F49"/>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274"/>
    <w:rsid w:val="00791ED5"/>
    <w:rsid w:val="00792AC3"/>
    <w:rsid w:val="00793454"/>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5EF"/>
    <w:rsid w:val="007B1CB8"/>
    <w:rsid w:val="007B2322"/>
    <w:rsid w:val="007B25C8"/>
    <w:rsid w:val="007B3452"/>
    <w:rsid w:val="007B53B3"/>
    <w:rsid w:val="007B5F4C"/>
    <w:rsid w:val="007B6750"/>
    <w:rsid w:val="007B6AD4"/>
    <w:rsid w:val="007B6E7E"/>
    <w:rsid w:val="007B7083"/>
    <w:rsid w:val="007B72B3"/>
    <w:rsid w:val="007B7633"/>
    <w:rsid w:val="007B7DEE"/>
    <w:rsid w:val="007B7FD7"/>
    <w:rsid w:val="007C0928"/>
    <w:rsid w:val="007C2EAF"/>
    <w:rsid w:val="007C32D8"/>
    <w:rsid w:val="007C3BD3"/>
    <w:rsid w:val="007C3CB6"/>
    <w:rsid w:val="007C5200"/>
    <w:rsid w:val="007C77AA"/>
    <w:rsid w:val="007D33C4"/>
    <w:rsid w:val="007D3472"/>
    <w:rsid w:val="007D366D"/>
    <w:rsid w:val="007D4EBE"/>
    <w:rsid w:val="007D5868"/>
    <w:rsid w:val="007D61F4"/>
    <w:rsid w:val="007D6261"/>
    <w:rsid w:val="007D6CAB"/>
    <w:rsid w:val="007E038D"/>
    <w:rsid w:val="007E0819"/>
    <w:rsid w:val="007E08A2"/>
    <w:rsid w:val="007E13AE"/>
    <w:rsid w:val="007E2561"/>
    <w:rsid w:val="007E260C"/>
    <w:rsid w:val="007E270F"/>
    <w:rsid w:val="007E364A"/>
    <w:rsid w:val="007E37DE"/>
    <w:rsid w:val="007E3C99"/>
    <w:rsid w:val="007E41AF"/>
    <w:rsid w:val="007E527E"/>
    <w:rsid w:val="007E531B"/>
    <w:rsid w:val="007E5B48"/>
    <w:rsid w:val="007E6FBE"/>
    <w:rsid w:val="007E7A25"/>
    <w:rsid w:val="007F0C64"/>
    <w:rsid w:val="007F1008"/>
    <w:rsid w:val="007F1507"/>
    <w:rsid w:val="007F4B4B"/>
    <w:rsid w:val="007F51CC"/>
    <w:rsid w:val="007F6DD7"/>
    <w:rsid w:val="007F71BD"/>
    <w:rsid w:val="007F7D9C"/>
    <w:rsid w:val="00800B8E"/>
    <w:rsid w:val="008017F9"/>
    <w:rsid w:val="00802A4B"/>
    <w:rsid w:val="00804575"/>
    <w:rsid w:val="008047E1"/>
    <w:rsid w:val="00804EC7"/>
    <w:rsid w:val="00805459"/>
    <w:rsid w:val="008063B5"/>
    <w:rsid w:val="00806435"/>
    <w:rsid w:val="00806AB6"/>
    <w:rsid w:val="00811FC6"/>
    <w:rsid w:val="0081210B"/>
    <w:rsid w:val="0081265C"/>
    <w:rsid w:val="0081313B"/>
    <w:rsid w:val="00813445"/>
    <w:rsid w:val="00813A3A"/>
    <w:rsid w:val="00813E00"/>
    <w:rsid w:val="00815729"/>
    <w:rsid w:val="00815AAB"/>
    <w:rsid w:val="00816D92"/>
    <w:rsid w:val="00816F1B"/>
    <w:rsid w:val="00820D9F"/>
    <w:rsid w:val="00822032"/>
    <w:rsid w:val="008247E4"/>
    <w:rsid w:val="0082488A"/>
    <w:rsid w:val="0082674B"/>
    <w:rsid w:val="00826E2B"/>
    <w:rsid w:val="008273C0"/>
    <w:rsid w:val="00827915"/>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0E47"/>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60A"/>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205"/>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7948"/>
    <w:rsid w:val="00900BE0"/>
    <w:rsid w:val="00901BF4"/>
    <w:rsid w:val="00901C62"/>
    <w:rsid w:val="00902595"/>
    <w:rsid w:val="0090264D"/>
    <w:rsid w:val="00903BD2"/>
    <w:rsid w:val="00905C1A"/>
    <w:rsid w:val="00906E8B"/>
    <w:rsid w:val="009102B5"/>
    <w:rsid w:val="00910760"/>
    <w:rsid w:val="009107D0"/>
    <w:rsid w:val="00911F20"/>
    <w:rsid w:val="0091274C"/>
    <w:rsid w:val="009128F1"/>
    <w:rsid w:val="00912DDA"/>
    <w:rsid w:val="00913362"/>
    <w:rsid w:val="00913BB1"/>
    <w:rsid w:val="00913FA1"/>
    <w:rsid w:val="00914A85"/>
    <w:rsid w:val="00915243"/>
    <w:rsid w:val="00916A78"/>
    <w:rsid w:val="009177A2"/>
    <w:rsid w:val="00917876"/>
    <w:rsid w:val="00920154"/>
    <w:rsid w:val="00921319"/>
    <w:rsid w:val="00921386"/>
    <w:rsid w:val="0092678C"/>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2B4F"/>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9B"/>
    <w:rsid w:val="009926EF"/>
    <w:rsid w:val="00993609"/>
    <w:rsid w:val="0099382E"/>
    <w:rsid w:val="00994653"/>
    <w:rsid w:val="00994955"/>
    <w:rsid w:val="00994C5F"/>
    <w:rsid w:val="00994E6E"/>
    <w:rsid w:val="00996526"/>
    <w:rsid w:val="009967D9"/>
    <w:rsid w:val="00996A43"/>
    <w:rsid w:val="00996EFE"/>
    <w:rsid w:val="009A0851"/>
    <w:rsid w:val="009A1530"/>
    <w:rsid w:val="009A15B3"/>
    <w:rsid w:val="009A2F67"/>
    <w:rsid w:val="009A322B"/>
    <w:rsid w:val="009A4258"/>
    <w:rsid w:val="009A4BC9"/>
    <w:rsid w:val="009A50A0"/>
    <w:rsid w:val="009A5C4E"/>
    <w:rsid w:val="009A639D"/>
    <w:rsid w:val="009A66B8"/>
    <w:rsid w:val="009A6D57"/>
    <w:rsid w:val="009B2D9B"/>
    <w:rsid w:val="009B2E5C"/>
    <w:rsid w:val="009B65C2"/>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24D"/>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4833"/>
    <w:rsid w:val="00A76423"/>
    <w:rsid w:val="00A773D0"/>
    <w:rsid w:val="00A77738"/>
    <w:rsid w:val="00A7786A"/>
    <w:rsid w:val="00A779A2"/>
    <w:rsid w:val="00A80131"/>
    <w:rsid w:val="00A804CC"/>
    <w:rsid w:val="00A818E6"/>
    <w:rsid w:val="00A81A71"/>
    <w:rsid w:val="00A84C61"/>
    <w:rsid w:val="00A8625C"/>
    <w:rsid w:val="00A86DFE"/>
    <w:rsid w:val="00A870CA"/>
    <w:rsid w:val="00A87442"/>
    <w:rsid w:val="00A90D91"/>
    <w:rsid w:val="00A92C36"/>
    <w:rsid w:val="00A93112"/>
    <w:rsid w:val="00A932DE"/>
    <w:rsid w:val="00A960E2"/>
    <w:rsid w:val="00A9656E"/>
    <w:rsid w:val="00AA186B"/>
    <w:rsid w:val="00AA2F4F"/>
    <w:rsid w:val="00AA38F6"/>
    <w:rsid w:val="00AA4965"/>
    <w:rsid w:val="00AA6DDB"/>
    <w:rsid w:val="00AB0830"/>
    <w:rsid w:val="00AB1C8A"/>
    <w:rsid w:val="00AB2CCC"/>
    <w:rsid w:val="00AB4F2C"/>
    <w:rsid w:val="00AB64F8"/>
    <w:rsid w:val="00AB66C5"/>
    <w:rsid w:val="00AC09A4"/>
    <w:rsid w:val="00AC51F9"/>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922"/>
    <w:rsid w:val="00AE2662"/>
    <w:rsid w:val="00AE3CBD"/>
    <w:rsid w:val="00AE5D21"/>
    <w:rsid w:val="00AE7C5F"/>
    <w:rsid w:val="00AF08A8"/>
    <w:rsid w:val="00AF2019"/>
    <w:rsid w:val="00AF26B7"/>
    <w:rsid w:val="00AF30FD"/>
    <w:rsid w:val="00AF3FC6"/>
    <w:rsid w:val="00AF4B5F"/>
    <w:rsid w:val="00AF5B6E"/>
    <w:rsid w:val="00AF5FF4"/>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482"/>
    <w:rsid w:val="00B14AD4"/>
    <w:rsid w:val="00B14C45"/>
    <w:rsid w:val="00B15489"/>
    <w:rsid w:val="00B16155"/>
    <w:rsid w:val="00B171FD"/>
    <w:rsid w:val="00B17588"/>
    <w:rsid w:val="00B17FBC"/>
    <w:rsid w:val="00B200F9"/>
    <w:rsid w:val="00B20D58"/>
    <w:rsid w:val="00B22535"/>
    <w:rsid w:val="00B2441D"/>
    <w:rsid w:val="00B24E10"/>
    <w:rsid w:val="00B258E2"/>
    <w:rsid w:val="00B25E7E"/>
    <w:rsid w:val="00B2670C"/>
    <w:rsid w:val="00B310C1"/>
    <w:rsid w:val="00B32231"/>
    <w:rsid w:val="00B34397"/>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6887"/>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67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DCB"/>
    <w:rsid w:val="00BE049B"/>
    <w:rsid w:val="00BE0825"/>
    <w:rsid w:val="00BE13CB"/>
    <w:rsid w:val="00BE1F9E"/>
    <w:rsid w:val="00BE2557"/>
    <w:rsid w:val="00BE2BF8"/>
    <w:rsid w:val="00BE3B1E"/>
    <w:rsid w:val="00BE46F4"/>
    <w:rsid w:val="00BE4F54"/>
    <w:rsid w:val="00BE525E"/>
    <w:rsid w:val="00BE5C59"/>
    <w:rsid w:val="00BE627E"/>
    <w:rsid w:val="00BE681B"/>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64D1"/>
    <w:rsid w:val="00C1090B"/>
    <w:rsid w:val="00C10DD0"/>
    <w:rsid w:val="00C13017"/>
    <w:rsid w:val="00C13FBE"/>
    <w:rsid w:val="00C141CA"/>
    <w:rsid w:val="00C149A3"/>
    <w:rsid w:val="00C166DC"/>
    <w:rsid w:val="00C16C64"/>
    <w:rsid w:val="00C173CD"/>
    <w:rsid w:val="00C20109"/>
    <w:rsid w:val="00C20FC8"/>
    <w:rsid w:val="00C227D5"/>
    <w:rsid w:val="00C228DF"/>
    <w:rsid w:val="00C23288"/>
    <w:rsid w:val="00C2454C"/>
    <w:rsid w:val="00C25F98"/>
    <w:rsid w:val="00C26867"/>
    <w:rsid w:val="00C27879"/>
    <w:rsid w:val="00C30240"/>
    <w:rsid w:val="00C3135C"/>
    <w:rsid w:val="00C3244D"/>
    <w:rsid w:val="00C329A5"/>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8B"/>
    <w:rsid w:val="00C46FCF"/>
    <w:rsid w:val="00C4753A"/>
    <w:rsid w:val="00C512D5"/>
    <w:rsid w:val="00C51B29"/>
    <w:rsid w:val="00C51D30"/>
    <w:rsid w:val="00C5205E"/>
    <w:rsid w:val="00C522AB"/>
    <w:rsid w:val="00C526A3"/>
    <w:rsid w:val="00C55D72"/>
    <w:rsid w:val="00C56D45"/>
    <w:rsid w:val="00C57511"/>
    <w:rsid w:val="00C6146F"/>
    <w:rsid w:val="00C62AF0"/>
    <w:rsid w:val="00C631F6"/>
    <w:rsid w:val="00C636BA"/>
    <w:rsid w:val="00C63A43"/>
    <w:rsid w:val="00C648D8"/>
    <w:rsid w:val="00C65DA8"/>
    <w:rsid w:val="00C6612A"/>
    <w:rsid w:val="00C6668B"/>
    <w:rsid w:val="00C666FB"/>
    <w:rsid w:val="00C66EE0"/>
    <w:rsid w:val="00C671B1"/>
    <w:rsid w:val="00C676D1"/>
    <w:rsid w:val="00C6780B"/>
    <w:rsid w:val="00C6D1CB"/>
    <w:rsid w:val="00C700B7"/>
    <w:rsid w:val="00C70434"/>
    <w:rsid w:val="00C71045"/>
    <w:rsid w:val="00C711D3"/>
    <w:rsid w:val="00C71FA3"/>
    <w:rsid w:val="00C72EC1"/>
    <w:rsid w:val="00C72FA9"/>
    <w:rsid w:val="00C73519"/>
    <w:rsid w:val="00C73FAD"/>
    <w:rsid w:val="00C74636"/>
    <w:rsid w:val="00C74D69"/>
    <w:rsid w:val="00C75536"/>
    <w:rsid w:val="00C758F8"/>
    <w:rsid w:val="00C76B74"/>
    <w:rsid w:val="00C81DE5"/>
    <w:rsid w:val="00C82860"/>
    <w:rsid w:val="00C83489"/>
    <w:rsid w:val="00C837C9"/>
    <w:rsid w:val="00C8396C"/>
    <w:rsid w:val="00C84F1D"/>
    <w:rsid w:val="00C85DD9"/>
    <w:rsid w:val="00C85F5A"/>
    <w:rsid w:val="00C8618D"/>
    <w:rsid w:val="00C86ADF"/>
    <w:rsid w:val="00C870C0"/>
    <w:rsid w:val="00C93AD3"/>
    <w:rsid w:val="00C93F42"/>
    <w:rsid w:val="00C9418B"/>
    <w:rsid w:val="00C95D67"/>
    <w:rsid w:val="00C97222"/>
    <w:rsid w:val="00C97867"/>
    <w:rsid w:val="00CA0DAE"/>
    <w:rsid w:val="00CA0E49"/>
    <w:rsid w:val="00CA1535"/>
    <w:rsid w:val="00CA5087"/>
    <w:rsid w:val="00CA58EE"/>
    <w:rsid w:val="00CA7EEF"/>
    <w:rsid w:val="00CB1649"/>
    <w:rsid w:val="00CB179D"/>
    <w:rsid w:val="00CB3E5E"/>
    <w:rsid w:val="00CB4EBD"/>
    <w:rsid w:val="00CB6338"/>
    <w:rsid w:val="00CB6BAF"/>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3C5"/>
    <w:rsid w:val="00D2196F"/>
    <w:rsid w:val="00D21D15"/>
    <w:rsid w:val="00D23119"/>
    <w:rsid w:val="00D241D4"/>
    <w:rsid w:val="00D24A69"/>
    <w:rsid w:val="00D25520"/>
    <w:rsid w:val="00D27551"/>
    <w:rsid w:val="00D275A7"/>
    <w:rsid w:val="00D27824"/>
    <w:rsid w:val="00D3060F"/>
    <w:rsid w:val="00D313BD"/>
    <w:rsid w:val="00D31B8E"/>
    <w:rsid w:val="00D31FBC"/>
    <w:rsid w:val="00D33DB2"/>
    <w:rsid w:val="00D33DE7"/>
    <w:rsid w:val="00D348BC"/>
    <w:rsid w:val="00D34C6E"/>
    <w:rsid w:val="00D36C8D"/>
    <w:rsid w:val="00D405E6"/>
    <w:rsid w:val="00D43237"/>
    <w:rsid w:val="00D4323A"/>
    <w:rsid w:val="00D442ED"/>
    <w:rsid w:val="00D44C0E"/>
    <w:rsid w:val="00D4562F"/>
    <w:rsid w:val="00D46116"/>
    <w:rsid w:val="00D46297"/>
    <w:rsid w:val="00D4693D"/>
    <w:rsid w:val="00D46B07"/>
    <w:rsid w:val="00D47404"/>
    <w:rsid w:val="00D510DA"/>
    <w:rsid w:val="00D53F8D"/>
    <w:rsid w:val="00D547E6"/>
    <w:rsid w:val="00D56EA7"/>
    <w:rsid w:val="00D57AD5"/>
    <w:rsid w:val="00D6003F"/>
    <w:rsid w:val="00D60275"/>
    <w:rsid w:val="00D60B9E"/>
    <w:rsid w:val="00D637B2"/>
    <w:rsid w:val="00D6386F"/>
    <w:rsid w:val="00D654C5"/>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44A"/>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A6D"/>
    <w:rsid w:val="00DC2D1E"/>
    <w:rsid w:val="00DC31BF"/>
    <w:rsid w:val="00DC33EF"/>
    <w:rsid w:val="00DC4911"/>
    <w:rsid w:val="00DC7CFF"/>
    <w:rsid w:val="00DC7EFD"/>
    <w:rsid w:val="00DD090B"/>
    <w:rsid w:val="00DD0B7E"/>
    <w:rsid w:val="00DD15AE"/>
    <w:rsid w:val="00DD292A"/>
    <w:rsid w:val="00DD3144"/>
    <w:rsid w:val="00DD35ED"/>
    <w:rsid w:val="00DD3B33"/>
    <w:rsid w:val="00DD4AEB"/>
    <w:rsid w:val="00DD6775"/>
    <w:rsid w:val="00DD694D"/>
    <w:rsid w:val="00DD69BA"/>
    <w:rsid w:val="00DD72BD"/>
    <w:rsid w:val="00DD761B"/>
    <w:rsid w:val="00DE0079"/>
    <w:rsid w:val="00DE0326"/>
    <w:rsid w:val="00DE0517"/>
    <w:rsid w:val="00DE11DA"/>
    <w:rsid w:val="00DE3DC0"/>
    <w:rsid w:val="00DE78F0"/>
    <w:rsid w:val="00DF001D"/>
    <w:rsid w:val="00DF0A63"/>
    <w:rsid w:val="00DF177C"/>
    <w:rsid w:val="00DF2285"/>
    <w:rsid w:val="00DF3F6F"/>
    <w:rsid w:val="00DF4489"/>
    <w:rsid w:val="00DF50B5"/>
    <w:rsid w:val="00DF6212"/>
    <w:rsid w:val="00DF6BF3"/>
    <w:rsid w:val="00DF6C42"/>
    <w:rsid w:val="00DF7242"/>
    <w:rsid w:val="00DF7AFF"/>
    <w:rsid w:val="00DF7B3C"/>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0A6"/>
    <w:rsid w:val="00E321EB"/>
    <w:rsid w:val="00E32892"/>
    <w:rsid w:val="00E330BA"/>
    <w:rsid w:val="00E34DED"/>
    <w:rsid w:val="00E36D6E"/>
    <w:rsid w:val="00E37C8B"/>
    <w:rsid w:val="00E37ECE"/>
    <w:rsid w:val="00E405B9"/>
    <w:rsid w:val="00E41941"/>
    <w:rsid w:val="00E425D4"/>
    <w:rsid w:val="00E43229"/>
    <w:rsid w:val="00E44529"/>
    <w:rsid w:val="00E454C9"/>
    <w:rsid w:val="00E50761"/>
    <w:rsid w:val="00E509D9"/>
    <w:rsid w:val="00E50B13"/>
    <w:rsid w:val="00E51B16"/>
    <w:rsid w:val="00E5443A"/>
    <w:rsid w:val="00E554A3"/>
    <w:rsid w:val="00E56917"/>
    <w:rsid w:val="00E573C2"/>
    <w:rsid w:val="00E579FC"/>
    <w:rsid w:val="00E603D8"/>
    <w:rsid w:val="00E60CA5"/>
    <w:rsid w:val="00E6223B"/>
    <w:rsid w:val="00E631C3"/>
    <w:rsid w:val="00E631DE"/>
    <w:rsid w:val="00E633AF"/>
    <w:rsid w:val="00E636E4"/>
    <w:rsid w:val="00E63AC5"/>
    <w:rsid w:val="00E64AEA"/>
    <w:rsid w:val="00E65D70"/>
    <w:rsid w:val="00E6706E"/>
    <w:rsid w:val="00E67095"/>
    <w:rsid w:val="00E67A04"/>
    <w:rsid w:val="00E70A6A"/>
    <w:rsid w:val="00E715B9"/>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276"/>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6FB"/>
    <w:rsid w:val="00EC675B"/>
    <w:rsid w:val="00EC7098"/>
    <w:rsid w:val="00ED095F"/>
    <w:rsid w:val="00ED1423"/>
    <w:rsid w:val="00ED34A7"/>
    <w:rsid w:val="00ED6FE1"/>
    <w:rsid w:val="00ED77B0"/>
    <w:rsid w:val="00ED7E12"/>
    <w:rsid w:val="00EE04F1"/>
    <w:rsid w:val="00EE07D1"/>
    <w:rsid w:val="00EE23B3"/>
    <w:rsid w:val="00EE52D0"/>
    <w:rsid w:val="00EE5475"/>
    <w:rsid w:val="00EE591C"/>
    <w:rsid w:val="00EE7415"/>
    <w:rsid w:val="00EF0934"/>
    <w:rsid w:val="00EF1A36"/>
    <w:rsid w:val="00EF277D"/>
    <w:rsid w:val="00EF3150"/>
    <w:rsid w:val="00EF350D"/>
    <w:rsid w:val="00EF4A01"/>
    <w:rsid w:val="00EF56B9"/>
    <w:rsid w:val="00EF5AF0"/>
    <w:rsid w:val="00EF62FD"/>
    <w:rsid w:val="00F0181A"/>
    <w:rsid w:val="00F01EE6"/>
    <w:rsid w:val="00F01F98"/>
    <w:rsid w:val="00F02219"/>
    <w:rsid w:val="00F03537"/>
    <w:rsid w:val="00F03665"/>
    <w:rsid w:val="00F03D4C"/>
    <w:rsid w:val="00F04743"/>
    <w:rsid w:val="00F07460"/>
    <w:rsid w:val="00F10A6E"/>
    <w:rsid w:val="00F11111"/>
    <w:rsid w:val="00F1189D"/>
    <w:rsid w:val="00F11A81"/>
    <w:rsid w:val="00F11A8A"/>
    <w:rsid w:val="00F13A6D"/>
    <w:rsid w:val="00F156A3"/>
    <w:rsid w:val="00F1597E"/>
    <w:rsid w:val="00F16329"/>
    <w:rsid w:val="00F16A71"/>
    <w:rsid w:val="00F17407"/>
    <w:rsid w:val="00F179A4"/>
    <w:rsid w:val="00F21C87"/>
    <w:rsid w:val="00F21E1D"/>
    <w:rsid w:val="00F233CB"/>
    <w:rsid w:val="00F23936"/>
    <w:rsid w:val="00F23D20"/>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A65"/>
    <w:rsid w:val="00F511CC"/>
    <w:rsid w:val="00F51334"/>
    <w:rsid w:val="00F5203B"/>
    <w:rsid w:val="00F526AD"/>
    <w:rsid w:val="00F527B7"/>
    <w:rsid w:val="00F52E73"/>
    <w:rsid w:val="00F52F6F"/>
    <w:rsid w:val="00F53828"/>
    <w:rsid w:val="00F539CA"/>
    <w:rsid w:val="00F5517E"/>
    <w:rsid w:val="00F60B38"/>
    <w:rsid w:val="00F6108E"/>
    <w:rsid w:val="00F61CB7"/>
    <w:rsid w:val="00F6292A"/>
    <w:rsid w:val="00F62C69"/>
    <w:rsid w:val="00F63214"/>
    <w:rsid w:val="00F632FB"/>
    <w:rsid w:val="00F63EEB"/>
    <w:rsid w:val="00F64C00"/>
    <w:rsid w:val="00F64DA9"/>
    <w:rsid w:val="00F65C81"/>
    <w:rsid w:val="00F66BCD"/>
    <w:rsid w:val="00F704D9"/>
    <w:rsid w:val="00F70A0D"/>
    <w:rsid w:val="00F72B01"/>
    <w:rsid w:val="00F74037"/>
    <w:rsid w:val="00F7455B"/>
    <w:rsid w:val="00F746AC"/>
    <w:rsid w:val="00F74B9D"/>
    <w:rsid w:val="00F75058"/>
    <w:rsid w:val="00F75726"/>
    <w:rsid w:val="00F7660F"/>
    <w:rsid w:val="00F768AD"/>
    <w:rsid w:val="00F76B75"/>
    <w:rsid w:val="00F774EE"/>
    <w:rsid w:val="00F77EB8"/>
    <w:rsid w:val="00F82547"/>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54D"/>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2FA11DAB-C331-4C62-ACA9-6FC8FCA997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NormalWeb">
    <w:name w:val="Normal (Web)"/>
    <w:basedOn w:val="Normal"/>
    <w:uiPriority w:val="99"/>
    <w:semiHidden/>
    <w:unhideWhenUsed/>
    <w:rsid w:val="00153F6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844019">
      <w:bodyDiv w:val="1"/>
      <w:marLeft w:val="0"/>
      <w:marRight w:val="0"/>
      <w:marTop w:val="0"/>
      <w:marBottom w:val="0"/>
      <w:divBdr>
        <w:top w:val="none" w:sz="0" w:space="0" w:color="auto"/>
        <w:left w:val="none" w:sz="0" w:space="0" w:color="auto"/>
        <w:bottom w:val="none" w:sz="0" w:space="0" w:color="auto"/>
        <w:right w:val="none" w:sz="0" w:space="0" w:color="auto"/>
      </w:divBdr>
    </w:div>
    <w:div w:id="120656290">
      <w:bodyDiv w:val="1"/>
      <w:marLeft w:val="0"/>
      <w:marRight w:val="0"/>
      <w:marTop w:val="0"/>
      <w:marBottom w:val="0"/>
      <w:divBdr>
        <w:top w:val="none" w:sz="0" w:space="0" w:color="auto"/>
        <w:left w:val="none" w:sz="0" w:space="0" w:color="auto"/>
        <w:bottom w:val="none" w:sz="0" w:space="0" w:color="auto"/>
        <w:right w:val="none" w:sz="0" w:space="0" w:color="auto"/>
      </w:divBdr>
    </w:div>
    <w:div w:id="304165628">
      <w:bodyDiv w:val="1"/>
      <w:marLeft w:val="0"/>
      <w:marRight w:val="0"/>
      <w:marTop w:val="0"/>
      <w:marBottom w:val="0"/>
      <w:divBdr>
        <w:top w:val="none" w:sz="0" w:space="0" w:color="auto"/>
        <w:left w:val="none" w:sz="0" w:space="0" w:color="auto"/>
        <w:bottom w:val="none" w:sz="0" w:space="0" w:color="auto"/>
        <w:right w:val="none" w:sz="0" w:space="0" w:color="auto"/>
      </w:divBdr>
    </w:div>
    <w:div w:id="308947392">
      <w:bodyDiv w:val="1"/>
      <w:marLeft w:val="0"/>
      <w:marRight w:val="0"/>
      <w:marTop w:val="0"/>
      <w:marBottom w:val="0"/>
      <w:divBdr>
        <w:top w:val="none" w:sz="0" w:space="0" w:color="auto"/>
        <w:left w:val="none" w:sz="0" w:space="0" w:color="auto"/>
        <w:bottom w:val="none" w:sz="0" w:space="0" w:color="auto"/>
        <w:right w:val="none" w:sz="0" w:space="0" w:color="auto"/>
      </w:divBdr>
    </w:div>
    <w:div w:id="366368166">
      <w:bodyDiv w:val="1"/>
      <w:marLeft w:val="0"/>
      <w:marRight w:val="0"/>
      <w:marTop w:val="0"/>
      <w:marBottom w:val="0"/>
      <w:divBdr>
        <w:top w:val="none" w:sz="0" w:space="0" w:color="auto"/>
        <w:left w:val="none" w:sz="0" w:space="0" w:color="auto"/>
        <w:bottom w:val="none" w:sz="0" w:space="0" w:color="auto"/>
        <w:right w:val="none" w:sz="0" w:space="0" w:color="auto"/>
      </w:divBdr>
    </w:div>
    <w:div w:id="397561675">
      <w:bodyDiv w:val="1"/>
      <w:marLeft w:val="0"/>
      <w:marRight w:val="0"/>
      <w:marTop w:val="0"/>
      <w:marBottom w:val="0"/>
      <w:divBdr>
        <w:top w:val="none" w:sz="0" w:space="0" w:color="auto"/>
        <w:left w:val="none" w:sz="0" w:space="0" w:color="auto"/>
        <w:bottom w:val="none" w:sz="0" w:space="0" w:color="auto"/>
        <w:right w:val="none" w:sz="0" w:space="0" w:color="auto"/>
      </w:divBdr>
      <w:divsChild>
        <w:div w:id="1924948763">
          <w:marLeft w:val="0"/>
          <w:marRight w:val="0"/>
          <w:marTop w:val="0"/>
          <w:marBottom w:val="0"/>
          <w:divBdr>
            <w:top w:val="none" w:sz="0" w:space="0" w:color="auto"/>
            <w:left w:val="none" w:sz="0" w:space="0" w:color="auto"/>
            <w:bottom w:val="none" w:sz="0" w:space="0" w:color="auto"/>
            <w:right w:val="none" w:sz="0" w:space="0" w:color="auto"/>
          </w:divBdr>
          <w:divsChild>
            <w:div w:id="807212106">
              <w:marLeft w:val="0"/>
              <w:marRight w:val="0"/>
              <w:marTop w:val="0"/>
              <w:marBottom w:val="0"/>
              <w:divBdr>
                <w:top w:val="none" w:sz="0" w:space="0" w:color="auto"/>
                <w:left w:val="none" w:sz="0" w:space="0" w:color="auto"/>
                <w:bottom w:val="none" w:sz="0" w:space="0" w:color="auto"/>
                <w:right w:val="none" w:sz="0" w:space="0" w:color="auto"/>
              </w:divBdr>
              <w:divsChild>
                <w:div w:id="1230266302">
                  <w:marLeft w:val="0"/>
                  <w:marRight w:val="0"/>
                  <w:marTop w:val="0"/>
                  <w:marBottom w:val="0"/>
                  <w:divBdr>
                    <w:top w:val="none" w:sz="0" w:space="0" w:color="auto"/>
                    <w:left w:val="none" w:sz="0" w:space="0" w:color="auto"/>
                    <w:bottom w:val="none" w:sz="0" w:space="0" w:color="auto"/>
                    <w:right w:val="none" w:sz="0" w:space="0" w:color="auto"/>
                  </w:divBdr>
                  <w:divsChild>
                    <w:div w:id="7828453">
                      <w:marLeft w:val="0"/>
                      <w:marRight w:val="0"/>
                      <w:marTop w:val="0"/>
                      <w:marBottom w:val="0"/>
                      <w:divBdr>
                        <w:top w:val="none" w:sz="0" w:space="0" w:color="auto"/>
                        <w:left w:val="none" w:sz="0" w:space="0" w:color="auto"/>
                        <w:bottom w:val="none" w:sz="0" w:space="0" w:color="auto"/>
                        <w:right w:val="none" w:sz="0" w:space="0" w:color="auto"/>
                      </w:divBdr>
                      <w:divsChild>
                        <w:div w:id="663972675">
                          <w:marLeft w:val="0"/>
                          <w:marRight w:val="0"/>
                          <w:marTop w:val="0"/>
                          <w:marBottom w:val="0"/>
                          <w:divBdr>
                            <w:top w:val="none" w:sz="0" w:space="0" w:color="auto"/>
                            <w:left w:val="none" w:sz="0" w:space="0" w:color="auto"/>
                            <w:bottom w:val="none" w:sz="0" w:space="0" w:color="auto"/>
                            <w:right w:val="none" w:sz="0" w:space="0" w:color="auto"/>
                          </w:divBdr>
                          <w:divsChild>
                            <w:div w:id="1467234993">
                              <w:marLeft w:val="0"/>
                              <w:marRight w:val="0"/>
                              <w:marTop w:val="0"/>
                              <w:marBottom w:val="0"/>
                              <w:divBdr>
                                <w:top w:val="none" w:sz="0" w:space="0" w:color="auto"/>
                                <w:left w:val="none" w:sz="0" w:space="0" w:color="auto"/>
                                <w:bottom w:val="none" w:sz="0" w:space="0" w:color="auto"/>
                                <w:right w:val="none" w:sz="0" w:space="0" w:color="auto"/>
                              </w:divBdr>
                              <w:divsChild>
                                <w:div w:id="1113939183">
                                  <w:marLeft w:val="0"/>
                                  <w:marRight w:val="0"/>
                                  <w:marTop w:val="0"/>
                                  <w:marBottom w:val="0"/>
                                  <w:divBdr>
                                    <w:top w:val="none" w:sz="0" w:space="0" w:color="auto"/>
                                    <w:left w:val="none" w:sz="0" w:space="0" w:color="auto"/>
                                    <w:bottom w:val="none" w:sz="0" w:space="0" w:color="auto"/>
                                    <w:right w:val="none" w:sz="0" w:space="0" w:color="auto"/>
                                  </w:divBdr>
                                </w:div>
                                <w:div w:id="140151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0906814">
      <w:bodyDiv w:val="1"/>
      <w:marLeft w:val="0"/>
      <w:marRight w:val="0"/>
      <w:marTop w:val="0"/>
      <w:marBottom w:val="0"/>
      <w:divBdr>
        <w:top w:val="none" w:sz="0" w:space="0" w:color="auto"/>
        <w:left w:val="none" w:sz="0" w:space="0" w:color="auto"/>
        <w:bottom w:val="none" w:sz="0" w:space="0" w:color="auto"/>
        <w:right w:val="none" w:sz="0" w:space="0" w:color="auto"/>
      </w:divBdr>
    </w:div>
    <w:div w:id="43181954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143541">
      <w:bodyDiv w:val="1"/>
      <w:marLeft w:val="0"/>
      <w:marRight w:val="0"/>
      <w:marTop w:val="0"/>
      <w:marBottom w:val="0"/>
      <w:divBdr>
        <w:top w:val="none" w:sz="0" w:space="0" w:color="auto"/>
        <w:left w:val="none" w:sz="0" w:space="0" w:color="auto"/>
        <w:bottom w:val="none" w:sz="0" w:space="0" w:color="auto"/>
        <w:right w:val="none" w:sz="0" w:space="0" w:color="auto"/>
      </w:divBdr>
    </w:div>
    <w:div w:id="958294585">
      <w:bodyDiv w:val="1"/>
      <w:marLeft w:val="0"/>
      <w:marRight w:val="0"/>
      <w:marTop w:val="0"/>
      <w:marBottom w:val="0"/>
      <w:divBdr>
        <w:top w:val="none" w:sz="0" w:space="0" w:color="auto"/>
        <w:left w:val="none" w:sz="0" w:space="0" w:color="auto"/>
        <w:bottom w:val="none" w:sz="0" w:space="0" w:color="auto"/>
        <w:right w:val="none" w:sz="0" w:space="0" w:color="auto"/>
      </w:divBdr>
    </w:div>
    <w:div w:id="976765622">
      <w:bodyDiv w:val="1"/>
      <w:marLeft w:val="0"/>
      <w:marRight w:val="0"/>
      <w:marTop w:val="0"/>
      <w:marBottom w:val="0"/>
      <w:divBdr>
        <w:top w:val="none" w:sz="0" w:space="0" w:color="auto"/>
        <w:left w:val="none" w:sz="0" w:space="0" w:color="auto"/>
        <w:bottom w:val="none" w:sz="0" w:space="0" w:color="auto"/>
        <w:right w:val="none" w:sz="0" w:space="0" w:color="auto"/>
      </w:divBdr>
    </w:div>
    <w:div w:id="1053164126">
      <w:bodyDiv w:val="1"/>
      <w:marLeft w:val="0"/>
      <w:marRight w:val="0"/>
      <w:marTop w:val="0"/>
      <w:marBottom w:val="0"/>
      <w:divBdr>
        <w:top w:val="none" w:sz="0" w:space="0" w:color="auto"/>
        <w:left w:val="none" w:sz="0" w:space="0" w:color="auto"/>
        <w:bottom w:val="none" w:sz="0" w:space="0" w:color="auto"/>
        <w:right w:val="none" w:sz="0" w:space="0" w:color="auto"/>
      </w:divBdr>
    </w:div>
    <w:div w:id="1086462717">
      <w:bodyDiv w:val="1"/>
      <w:marLeft w:val="0"/>
      <w:marRight w:val="0"/>
      <w:marTop w:val="0"/>
      <w:marBottom w:val="0"/>
      <w:divBdr>
        <w:top w:val="none" w:sz="0" w:space="0" w:color="auto"/>
        <w:left w:val="none" w:sz="0" w:space="0" w:color="auto"/>
        <w:bottom w:val="none" w:sz="0" w:space="0" w:color="auto"/>
        <w:right w:val="none" w:sz="0" w:space="0" w:color="auto"/>
      </w:divBdr>
    </w:div>
    <w:div w:id="1165588779">
      <w:bodyDiv w:val="1"/>
      <w:marLeft w:val="0"/>
      <w:marRight w:val="0"/>
      <w:marTop w:val="0"/>
      <w:marBottom w:val="0"/>
      <w:divBdr>
        <w:top w:val="none" w:sz="0" w:space="0" w:color="auto"/>
        <w:left w:val="none" w:sz="0" w:space="0" w:color="auto"/>
        <w:bottom w:val="none" w:sz="0" w:space="0" w:color="auto"/>
        <w:right w:val="none" w:sz="0" w:space="0" w:color="auto"/>
      </w:divBdr>
      <w:divsChild>
        <w:div w:id="598802614">
          <w:marLeft w:val="0"/>
          <w:marRight w:val="0"/>
          <w:marTop w:val="0"/>
          <w:marBottom w:val="0"/>
          <w:divBdr>
            <w:top w:val="none" w:sz="0" w:space="0" w:color="auto"/>
            <w:left w:val="none" w:sz="0" w:space="0" w:color="auto"/>
            <w:bottom w:val="none" w:sz="0" w:space="0" w:color="auto"/>
            <w:right w:val="none" w:sz="0" w:space="0" w:color="auto"/>
          </w:divBdr>
          <w:divsChild>
            <w:div w:id="1579513001">
              <w:marLeft w:val="0"/>
              <w:marRight w:val="0"/>
              <w:marTop w:val="0"/>
              <w:marBottom w:val="0"/>
              <w:divBdr>
                <w:top w:val="none" w:sz="0" w:space="0" w:color="auto"/>
                <w:left w:val="none" w:sz="0" w:space="0" w:color="auto"/>
                <w:bottom w:val="none" w:sz="0" w:space="0" w:color="auto"/>
                <w:right w:val="none" w:sz="0" w:space="0" w:color="auto"/>
              </w:divBdr>
              <w:divsChild>
                <w:div w:id="76169163">
                  <w:marLeft w:val="0"/>
                  <w:marRight w:val="0"/>
                  <w:marTop w:val="0"/>
                  <w:marBottom w:val="0"/>
                  <w:divBdr>
                    <w:top w:val="none" w:sz="0" w:space="0" w:color="auto"/>
                    <w:left w:val="none" w:sz="0" w:space="0" w:color="auto"/>
                    <w:bottom w:val="none" w:sz="0" w:space="0" w:color="auto"/>
                    <w:right w:val="none" w:sz="0" w:space="0" w:color="auto"/>
                  </w:divBdr>
                  <w:divsChild>
                    <w:div w:id="1685131892">
                      <w:marLeft w:val="0"/>
                      <w:marRight w:val="0"/>
                      <w:marTop w:val="0"/>
                      <w:marBottom w:val="0"/>
                      <w:divBdr>
                        <w:top w:val="none" w:sz="0" w:space="0" w:color="auto"/>
                        <w:left w:val="none" w:sz="0" w:space="0" w:color="auto"/>
                        <w:bottom w:val="none" w:sz="0" w:space="0" w:color="auto"/>
                        <w:right w:val="none" w:sz="0" w:space="0" w:color="auto"/>
                      </w:divBdr>
                      <w:divsChild>
                        <w:div w:id="1892231690">
                          <w:marLeft w:val="0"/>
                          <w:marRight w:val="0"/>
                          <w:marTop w:val="0"/>
                          <w:marBottom w:val="0"/>
                          <w:divBdr>
                            <w:top w:val="none" w:sz="0" w:space="0" w:color="auto"/>
                            <w:left w:val="none" w:sz="0" w:space="0" w:color="auto"/>
                            <w:bottom w:val="none" w:sz="0" w:space="0" w:color="auto"/>
                            <w:right w:val="none" w:sz="0" w:space="0" w:color="auto"/>
                          </w:divBdr>
                          <w:divsChild>
                            <w:div w:id="1008172067">
                              <w:marLeft w:val="0"/>
                              <w:marRight w:val="0"/>
                              <w:marTop w:val="0"/>
                              <w:marBottom w:val="0"/>
                              <w:divBdr>
                                <w:top w:val="none" w:sz="0" w:space="0" w:color="auto"/>
                                <w:left w:val="none" w:sz="0" w:space="0" w:color="auto"/>
                                <w:bottom w:val="none" w:sz="0" w:space="0" w:color="auto"/>
                                <w:right w:val="none" w:sz="0" w:space="0" w:color="auto"/>
                              </w:divBdr>
                              <w:divsChild>
                                <w:div w:id="1675692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6775031">
      <w:bodyDiv w:val="1"/>
      <w:marLeft w:val="0"/>
      <w:marRight w:val="0"/>
      <w:marTop w:val="0"/>
      <w:marBottom w:val="0"/>
      <w:divBdr>
        <w:top w:val="none" w:sz="0" w:space="0" w:color="auto"/>
        <w:left w:val="none" w:sz="0" w:space="0" w:color="auto"/>
        <w:bottom w:val="none" w:sz="0" w:space="0" w:color="auto"/>
        <w:right w:val="none" w:sz="0" w:space="0" w:color="auto"/>
      </w:divBdr>
    </w:div>
    <w:div w:id="117993055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899169">
      <w:bodyDiv w:val="1"/>
      <w:marLeft w:val="0"/>
      <w:marRight w:val="0"/>
      <w:marTop w:val="0"/>
      <w:marBottom w:val="0"/>
      <w:divBdr>
        <w:top w:val="none" w:sz="0" w:space="0" w:color="auto"/>
        <w:left w:val="none" w:sz="0" w:space="0" w:color="auto"/>
        <w:bottom w:val="none" w:sz="0" w:space="0" w:color="auto"/>
        <w:right w:val="none" w:sz="0" w:space="0" w:color="auto"/>
      </w:divBdr>
    </w:div>
    <w:div w:id="1235236325">
      <w:bodyDiv w:val="1"/>
      <w:marLeft w:val="0"/>
      <w:marRight w:val="0"/>
      <w:marTop w:val="0"/>
      <w:marBottom w:val="0"/>
      <w:divBdr>
        <w:top w:val="none" w:sz="0" w:space="0" w:color="auto"/>
        <w:left w:val="none" w:sz="0" w:space="0" w:color="auto"/>
        <w:bottom w:val="none" w:sz="0" w:space="0" w:color="auto"/>
        <w:right w:val="none" w:sz="0" w:space="0" w:color="auto"/>
      </w:divBdr>
    </w:div>
    <w:div w:id="1238783930">
      <w:bodyDiv w:val="1"/>
      <w:marLeft w:val="0"/>
      <w:marRight w:val="0"/>
      <w:marTop w:val="0"/>
      <w:marBottom w:val="0"/>
      <w:divBdr>
        <w:top w:val="none" w:sz="0" w:space="0" w:color="auto"/>
        <w:left w:val="none" w:sz="0" w:space="0" w:color="auto"/>
        <w:bottom w:val="none" w:sz="0" w:space="0" w:color="auto"/>
        <w:right w:val="none" w:sz="0" w:space="0" w:color="auto"/>
      </w:divBdr>
    </w:div>
    <w:div w:id="1288852642">
      <w:bodyDiv w:val="1"/>
      <w:marLeft w:val="0"/>
      <w:marRight w:val="0"/>
      <w:marTop w:val="0"/>
      <w:marBottom w:val="0"/>
      <w:divBdr>
        <w:top w:val="none" w:sz="0" w:space="0" w:color="auto"/>
        <w:left w:val="none" w:sz="0" w:space="0" w:color="auto"/>
        <w:bottom w:val="none" w:sz="0" w:space="0" w:color="auto"/>
        <w:right w:val="none" w:sz="0" w:space="0" w:color="auto"/>
      </w:divBdr>
    </w:div>
    <w:div w:id="1381394191">
      <w:bodyDiv w:val="1"/>
      <w:marLeft w:val="0"/>
      <w:marRight w:val="0"/>
      <w:marTop w:val="0"/>
      <w:marBottom w:val="0"/>
      <w:divBdr>
        <w:top w:val="none" w:sz="0" w:space="0" w:color="auto"/>
        <w:left w:val="none" w:sz="0" w:space="0" w:color="auto"/>
        <w:bottom w:val="none" w:sz="0" w:space="0" w:color="auto"/>
        <w:right w:val="none" w:sz="0" w:space="0" w:color="auto"/>
      </w:divBdr>
    </w:div>
    <w:div w:id="1383484390">
      <w:bodyDiv w:val="1"/>
      <w:marLeft w:val="0"/>
      <w:marRight w:val="0"/>
      <w:marTop w:val="0"/>
      <w:marBottom w:val="0"/>
      <w:divBdr>
        <w:top w:val="none" w:sz="0" w:space="0" w:color="auto"/>
        <w:left w:val="none" w:sz="0" w:space="0" w:color="auto"/>
        <w:bottom w:val="none" w:sz="0" w:space="0" w:color="auto"/>
        <w:right w:val="none" w:sz="0" w:space="0" w:color="auto"/>
      </w:divBdr>
    </w:div>
    <w:div w:id="1459227881">
      <w:bodyDiv w:val="1"/>
      <w:marLeft w:val="0"/>
      <w:marRight w:val="0"/>
      <w:marTop w:val="0"/>
      <w:marBottom w:val="0"/>
      <w:divBdr>
        <w:top w:val="none" w:sz="0" w:space="0" w:color="auto"/>
        <w:left w:val="none" w:sz="0" w:space="0" w:color="auto"/>
        <w:bottom w:val="none" w:sz="0" w:space="0" w:color="auto"/>
        <w:right w:val="none" w:sz="0" w:space="0" w:color="auto"/>
      </w:divBdr>
    </w:div>
    <w:div w:id="1572618856">
      <w:bodyDiv w:val="1"/>
      <w:marLeft w:val="0"/>
      <w:marRight w:val="0"/>
      <w:marTop w:val="0"/>
      <w:marBottom w:val="0"/>
      <w:divBdr>
        <w:top w:val="none" w:sz="0" w:space="0" w:color="auto"/>
        <w:left w:val="none" w:sz="0" w:space="0" w:color="auto"/>
        <w:bottom w:val="none" w:sz="0" w:space="0" w:color="auto"/>
        <w:right w:val="none" w:sz="0" w:space="0" w:color="auto"/>
      </w:divBdr>
    </w:div>
    <w:div w:id="1609124706">
      <w:bodyDiv w:val="1"/>
      <w:marLeft w:val="0"/>
      <w:marRight w:val="0"/>
      <w:marTop w:val="0"/>
      <w:marBottom w:val="0"/>
      <w:divBdr>
        <w:top w:val="none" w:sz="0" w:space="0" w:color="auto"/>
        <w:left w:val="none" w:sz="0" w:space="0" w:color="auto"/>
        <w:bottom w:val="none" w:sz="0" w:space="0" w:color="auto"/>
        <w:right w:val="none" w:sz="0" w:space="0" w:color="auto"/>
      </w:divBdr>
    </w:div>
    <w:div w:id="1755079481">
      <w:bodyDiv w:val="1"/>
      <w:marLeft w:val="0"/>
      <w:marRight w:val="0"/>
      <w:marTop w:val="0"/>
      <w:marBottom w:val="0"/>
      <w:divBdr>
        <w:top w:val="none" w:sz="0" w:space="0" w:color="auto"/>
        <w:left w:val="none" w:sz="0" w:space="0" w:color="auto"/>
        <w:bottom w:val="none" w:sz="0" w:space="0" w:color="auto"/>
        <w:right w:val="none" w:sz="0" w:space="0" w:color="auto"/>
      </w:divBdr>
      <w:divsChild>
        <w:div w:id="515120793">
          <w:marLeft w:val="0"/>
          <w:marRight w:val="0"/>
          <w:marTop w:val="0"/>
          <w:marBottom w:val="0"/>
          <w:divBdr>
            <w:top w:val="none" w:sz="0" w:space="0" w:color="auto"/>
            <w:left w:val="none" w:sz="0" w:space="0" w:color="auto"/>
            <w:bottom w:val="none" w:sz="0" w:space="0" w:color="auto"/>
            <w:right w:val="none" w:sz="0" w:space="0" w:color="auto"/>
          </w:divBdr>
          <w:divsChild>
            <w:div w:id="1051811153">
              <w:marLeft w:val="0"/>
              <w:marRight w:val="0"/>
              <w:marTop w:val="0"/>
              <w:marBottom w:val="0"/>
              <w:divBdr>
                <w:top w:val="none" w:sz="0" w:space="0" w:color="auto"/>
                <w:left w:val="none" w:sz="0" w:space="0" w:color="auto"/>
                <w:bottom w:val="none" w:sz="0" w:space="0" w:color="auto"/>
                <w:right w:val="none" w:sz="0" w:space="0" w:color="auto"/>
              </w:divBdr>
              <w:divsChild>
                <w:div w:id="459962515">
                  <w:marLeft w:val="0"/>
                  <w:marRight w:val="0"/>
                  <w:marTop w:val="0"/>
                  <w:marBottom w:val="0"/>
                  <w:divBdr>
                    <w:top w:val="none" w:sz="0" w:space="0" w:color="auto"/>
                    <w:left w:val="none" w:sz="0" w:space="0" w:color="auto"/>
                    <w:bottom w:val="none" w:sz="0" w:space="0" w:color="auto"/>
                    <w:right w:val="none" w:sz="0" w:space="0" w:color="auto"/>
                  </w:divBdr>
                  <w:divsChild>
                    <w:div w:id="275067731">
                      <w:marLeft w:val="0"/>
                      <w:marRight w:val="0"/>
                      <w:marTop w:val="0"/>
                      <w:marBottom w:val="0"/>
                      <w:divBdr>
                        <w:top w:val="none" w:sz="0" w:space="0" w:color="auto"/>
                        <w:left w:val="none" w:sz="0" w:space="0" w:color="auto"/>
                        <w:bottom w:val="none" w:sz="0" w:space="0" w:color="auto"/>
                        <w:right w:val="none" w:sz="0" w:space="0" w:color="auto"/>
                      </w:divBdr>
                      <w:divsChild>
                        <w:div w:id="268127221">
                          <w:marLeft w:val="0"/>
                          <w:marRight w:val="0"/>
                          <w:marTop w:val="0"/>
                          <w:marBottom w:val="0"/>
                          <w:divBdr>
                            <w:top w:val="none" w:sz="0" w:space="0" w:color="auto"/>
                            <w:left w:val="none" w:sz="0" w:space="0" w:color="auto"/>
                            <w:bottom w:val="none" w:sz="0" w:space="0" w:color="auto"/>
                            <w:right w:val="none" w:sz="0" w:space="0" w:color="auto"/>
                          </w:divBdr>
                          <w:divsChild>
                            <w:div w:id="100342993">
                              <w:marLeft w:val="0"/>
                              <w:marRight w:val="0"/>
                              <w:marTop w:val="0"/>
                              <w:marBottom w:val="0"/>
                              <w:divBdr>
                                <w:top w:val="none" w:sz="0" w:space="0" w:color="auto"/>
                                <w:left w:val="none" w:sz="0" w:space="0" w:color="auto"/>
                                <w:bottom w:val="none" w:sz="0" w:space="0" w:color="auto"/>
                                <w:right w:val="none" w:sz="0" w:space="0" w:color="auto"/>
                              </w:divBdr>
                              <w:divsChild>
                                <w:div w:id="404642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6267664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468100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7660587">
      <w:bodyDiv w:val="1"/>
      <w:marLeft w:val="0"/>
      <w:marRight w:val="0"/>
      <w:marTop w:val="0"/>
      <w:marBottom w:val="0"/>
      <w:divBdr>
        <w:top w:val="none" w:sz="0" w:space="0" w:color="auto"/>
        <w:left w:val="none" w:sz="0" w:space="0" w:color="auto"/>
        <w:bottom w:val="none" w:sz="0" w:space="0" w:color="auto"/>
        <w:right w:val="none" w:sz="0" w:space="0" w:color="auto"/>
      </w:divBdr>
    </w:div>
    <w:div w:id="2081977760">
      <w:bodyDiv w:val="1"/>
      <w:marLeft w:val="0"/>
      <w:marRight w:val="0"/>
      <w:marTop w:val="0"/>
      <w:marBottom w:val="0"/>
      <w:divBdr>
        <w:top w:val="none" w:sz="0" w:space="0" w:color="auto"/>
        <w:left w:val="none" w:sz="0" w:space="0" w:color="auto"/>
        <w:bottom w:val="none" w:sz="0" w:space="0" w:color="auto"/>
        <w:right w:val="none" w:sz="0" w:space="0" w:color="auto"/>
      </w:divBdr>
    </w:div>
    <w:div w:id="2114203681">
      <w:bodyDiv w:val="1"/>
      <w:marLeft w:val="0"/>
      <w:marRight w:val="0"/>
      <w:marTop w:val="0"/>
      <w:marBottom w:val="0"/>
      <w:divBdr>
        <w:top w:val="none" w:sz="0" w:space="0" w:color="auto"/>
        <w:left w:val="none" w:sz="0" w:space="0" w:color="auto"/>
        <w:bottom w:val="none" w:sz="0" w:space="0" w:color="auto"/>
        <w:right w:val="none" w:sz="0" w:space="0" w:color="auto"/>
      </w:divBdr>
      <w:divsChild>
        <w:div w:id="296692355">
          <w:marLeft w:val="0"/>
          <w:marRight w:val="0"/>
          <w:marTop w:val="0"/>
          <w:marBottom w:val="0"/>
          <w:divBdr>
            <w:top w:val="none" w:sz="0" w:space="0" w:color="auto"/>
            <w:left w:val="none" w:sz="0" w:space="0" w:color="auto"/>
            <w:bottom w:val="none" w:sz="0" w:space="0" w:color="auto"/>
            <w:right w:val="none" w:sz="0" w:space="0" w:color="auto"/>
          </w:divBdr>
          <w:divsChild>
            <w:div w:id="1263683386">
              <w:marLeft w:val="0"/>
              <w:marRight w:val="0"/>
              <w:marTop w:val="0"/>
              <w:marBottom w:val="0"/>
              <w:divBdr>
                <w:top w:val="none" w:sz="0" w:space="0" w:color="auto"/>
                <w:left w:val="none" w:sz="0" w:space="0" w:color="auto"/>
                <w:bottom w:val="none" w:sz="0" w:space="0" w:color="auto"/>
                <w:right w:val="none" w:sz="0" w:space="0" w:color="auto"/>
              </w:divBdr>
              <w:divsChild>
                <w:div w:id="2020110099">
                  <w:marLeft w:val="0"/>
                  <w:marRight w:val="0"/>
                  <w:marTop w:val="0"/>
                  <w:marBottom w:val="0"/>
                  <w:divBdr>
                    <w:top w:val="none" w:sz="0" w:space="0" w:color="auto"/>
                    <w:left w:val="none" w:sz="0" w:space="0" w:color="auto"/>
                    <w:bottom w:val="none" w:sz="0" w:space="0" w:color="auto"/>
                    <w:right w:val="none" w:sz="0" w:space="0" w:color="auto"/>
                  </w:divBdr>
                  <w:divsChild>
                    <w:div w:id="1098602235">
                      <w:marLeft w:val="0"/>
                      <w:marRight w:val="0"/>
                      <w:marTop w:val="0"/>
                      <w:marBottom w:val="0"/>
                      <w:divBdr>
                        <w:top w:val="none" w:sz="0" w:space="0" w:color="auto"/>
                        <w:left w:val="none" w:sz="0" w:space="0" w:color="auto"/>
                        <w:bottom w:val="none" w:sz="0" w:space="0" w:color="auto"/>
                        <w:right w:val="none" w:sz="0" w:space="0" w:color="auto"/>
                      </w:divBdr>
                      <w:divsChild>
                        <w:div w:id="638533695">
                          <w:marLeft w:val="0"/>
                          <w:marRight w:val="0"/>
                          <w:marTop w:val="0"/>
                          <w:marBottom w:val="0"/>
                          <w:divBdr>
                            <w:top w:val="none" w:sz="0" w:space="0" w:color="auto"/>
                            <w:left w:val="none" w:sz="0" w:space="0" w:color="auto"/>
                            <w:bottom w:val="none" w:sz="0" w:space="0" w:color="auto"/>
                            <w:right w:val="none" w:sz="0" w:space="0" w:color="auto"/>
                          </w:divBdr>
                          <w:divsChild>
                            <w:div w:id="1466702927">
                              <w:marLeft w:val="0"/>
                              <w:marRight w:val="0"/>
                              <w:marTop w:val="0"/>
                              <w:marBottom w:val="0"/>
                              <w:divBdr>
                                <w:top w:val="none" w:sz="0" w:space="0" w:color="auto"/>
                                <w:left w:val="none" w:sz="0" w:space="0" w:color="auto"/>
                                <w:bottom w:val="none" w:sz="0" w:space="0" w:color="auto"/>
                                <w:right w:val="none" w:sz="0" w:space="0" w:color="auto"/>
                              </w:divBdr>
                              <w:divsChild>
                                <w:div w:id="979653640">
                                  <w:marLeft w:val="0"/>
                                  <w:marRight w:val="0"/>
                                  <w:marTop w:val="0"/>
                                  <w:marBottom w:val="0"/>
                                  <w:divBdr>
                                    <w:top w:val="none" w:sz="0" w:space="0" w:color="auto"/>
                                    <w:left w:val="none" w:sz="0" w:space="0" w:color="auto"/>
                                    <w:bottom w:val="none" w:sz="0" w:space="0" w:color="auto"/>
                                    <w:right w:val="none" w:sz="0" w:space="0" w:color="auto"/>
                                  </w:divBdr>
                                </w:div>
                                <w:div w:id="1222252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2.camara.leg.br/legin/fed/lei/2024/lei-15042-11-dezembro-2024-796690-publicacaooriginal-173745-pl.htm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DAFA1DE-E8CB-4979-AF5F-E0F64883A775}"/>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114</Pages>
  <Words>25556</Words>
  <Characters>138008</Characters>
  <Application>Microsoft Office Word</Application>
  <DocSecurity>0</DocSecurity>
  <Lines>1150</Lines>
  <Paragraphs>326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163238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2</cp:revision>
  <cp:lastPrinted>2025-03-21T00:14:00Z</cp:lastPrinted>
  <dcterms:created xsi:type="dcterms:W3CDTF">2025-07-24T01:48:00Z</dcterms:created>
  <dcterms:modified xsi:type="dcterms:W3CDTF">2025-07-24T01:48:00Z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